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body>
    <w:p w:rsidR="00797A89" w:rsidRDefault="00000000" w14:paraId="6A8B9D9A" w14:textId="77777777">
      <w:pPr>
        <w:pStyle w:val="Subtitle"/>
        <w:spacing w:line="360" w:lineRule="auto"/>
        <w:jc w:val="center"/>
        <w:rPr>
          <w:rFonts w:ascii="Times New Roman" w:hAnsi="Times New Roman" w:eastAsia="Times New Roman" w:cs="Times New Roman"/>
          <w:sz w:val="32"/>
          <w:szCs w:val="32"/>
        </w:rPr>
      </w:pPr>
      <w:bookmarkStart w:name="_bcfj3ny25xh9" w:colFirst="0" w:colLast="0" w:id="0"/>
      <w:bookmarkEnd w:id="0"/>
      <w:r>
        <w:rPr>
          <w:rFonts w:ascii="Times New Roman" w:hAnsi="Times New Roman" w:eastAsia="Times New Roman" w:cs="Times New Roman"/>
          <w:sz w:val="32"/>
          <w:szCs w:val="32"/>
        </w:rPr>
        <w:t>Iowa State University</w:t>
      </w:r>
    </w:p>
    <w:p w:rsidR="00797A89" w:rsidRDefault="00000000" w14:paraId="092A05B3" w14:textId="77777777">
      <w:pPr>
        <w:pStyle w:val="Title"/>
        <w:spacing w:line="360" w:lineRule="auto"/>
        <w:jc w:val="center"/>
        <w:rPr>
          <w:rFonts w:ascii="Times New Roman" w:hAnsi="Times New Roman" w:eastAsia="Times New Roman" w:cs="Times New Roman"/>
          <w:color w:val="85200C"/>
          <w:sz w:val="50"/>
          <w:szCs w:val="50"/>
        </w:rPr>
      </w:pPr>
      <w:bookmarkStart w:name="_jj1eytnw84ro" w:colFirst="0" w:colLast="0" w:id="1"/>
      <w:bookmarkEnd w:id="1"/>
      <w:r>
        <w:rPr>
          <w:rFonts w:ascii="Times New Roman" w:hAnsi="Times New Roman" w:eastAsia="Times New Roman" w:cs="Times New Roman"/>
          <w:color w:val="85200C"/>
          <w:sz w:val="50"/>
          <w:szCs w:val="50"/>
        </w:rPr>
        <w:t>4G LTE Network Emulation and Throughput Testing Utilizing ARA</w:t>
      </w:r>
    </w:p>
    <w:p w:rsidR="00797A89" w:rsidRDefault="00000000" w14:paraId="2C2954F5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Senior Design sdmay24-20 Experimental Lab</w:t>
      </w:r>
    </w:p>
    <w:p w:rsidR="00797A89" w:rsidRDefault="00000000" w14:paraId="48AD05EF" w14:textId="77777777">
      <w:pPr>
        <w:spacing w:line="360" w:lineRule="auto"/>
        <w:jc w:val="center"/>
      </w:pPr>
      <w:r>
        <w:rPr>
          <w:noProof/>
        </w:rPr>
        <w:drawing>
          <wp:inline distT="114300" distB="114300" distL="114300" distR="114300" wp14:anchorId="126FF0B8" wp14:editId="6B726C94">
            <wp:extent cx="1390650" cy="875879"/>
            <wp:effectExtent l="0" t="0" r="0" b="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8758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797A89" w14:paraId="30C96DE1" w14:textId="77777777">
      <w:pPr>
        <w:spacing w:line="360" w:lineRule="auto"/>
        <w:jc w:val="center"/>
      </w:pPr>
    </w:p>
    <w:p w:rsidR="00797A89" w:rsidRDefault="00000000" w14:paraId="3A89123A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Before starting this lab, familiarize yourself with the basics of 4G network infrastructure by visiting </w:t>
      </w:r>
      <w:hyperlink r:id="rId6">
        <w:r>
          <w:rPr>
            <w:rFonts w:ascii="Times New Roman" w:hAnsi="Times New Roman" w:eastAsia="Times New Roman" w:cs="Times New Roman"/>
            <w:color w:val="1155CC"/>
            <w:sz w:val="24"/>
            <w:szCs w:val="24"/>
            <w:highlight w:val="white"/>
            <w:u w:val="single"/>
          </w:rPr>
          <w:t>A Beginners Guide to Mobil Communication Infrastructure</w:t>
        </w:r>
      </w:hyperlink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and reading the section regarding 4G networks. To understand the platform that you will be using read about the ARA sandbox </w:t>
      </w:r>
      <w:hyperlink r:id="rId7">
        <w:r>
          <w:rPr>
            <w:rFonts w:ascii="Times New Roman" w:hAnsi="Times New Roman" w:eastAsia="Times New Roman" w:cs="Times New Roman"/>
            <w:color w:val="1155CC"/>
            <w:sz w:val="24"/>
            <w:szCs w:val="24"/>
            <w:highlight w:val="white"/>
            <w:u w:val="single"/>
          </w:rPr>
          <w:t>ARA Sandbox Service</w:t>
        </w:r>
      </w:hyperlink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>.</w:t>
      </w:r>
    </w:p>
    <w:p w:rsidR="00797A89" w:rsidRDefault="00000000" w14:paraId="378D0B78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color w:val="A61C00"/>
          <w:sz w:val="24"/>
          <w:szCs w:val="24"/>
          <w:highlight w:val="white"/>
        </w:rPr>
        <w:drawing>
          <wp:inline distT="114300" distB="114300" distL="114300" distR="114300" wp14:anchorId="1FBC4A47" wp14:editId="157A3779">
            <wp:extent cx="5186363" cy="1692392"/>
            <wp:effectExtent l="0" t="0" r="0" b="0"/>
            <wp:docPr id="45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6363" cy="1692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797A89" w14:paraId="38FDD09D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797A89" w14:paraId="7C38DE97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797A89" w14:paraId="2CC0329B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797A89" w14:paraId="64621F93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797A89" w14:paraId="23623E3E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797A89" w14:paraId="0AFAA353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797A89" w14:paraId="4C584F9D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797A89" w14:paraId="72F3172B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000000" w14:paraId="72CCC45B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lastRenderedPageBreak/>
        <w:t xml:space="preserve">Objectives: </w:t>
      </w:r>
    </w:p>
    <w:p w:rsidR="00797A89" w:rsidRDefault="00000000" w14:paraId="3495BB17" w14:textId="77777777">
      <w:pPr>
        <w:numPr>
          <w:ilvl w:val="0"/>
          <w:numId w:val="4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Successfully set up an emulated 4G network and simulate data traffic between the UE and EPC. </w:t>
      </w:r>
    </w:p>
    <w:p w:rsidR="00797A89" w:rsidRDefault="00000000" w14:paraId="6F3727B6" w14:textId="77777777">
      <w:pPr>
        <w:numPr>
          <w:ilvl w:val="0"/>
          <w:numId w:val="4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>Conduct a throughput test on the emulated network and analyze performance.</w:t>
      </w:r>
    </w:p>
    <w:p w:rsidR="00797A89" w:rsidRDefault="00797A89" w14:paraId="31FB6076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000000" w14:paraId="13B065B6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>Learning objectives:</w:t>
      </w:r>
    </w:p>
    <w:p w:rsidR="00797A89" w:rsidRDefault="00000000" w14:paraId="713ABE99" w14:textId="77777777">
      <w:pPr>
        <w:numPr>
          <w:ilvl w:val="0"/>
          <w:numId w:val="1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>Gain an understanding of the key components of a 4G network and their responsibilities.</w:t>
      </w:r>
    </w:p>
    <w:p w:rsidR="00797A89" w:rsidRDefault="00000000" w14:paraId="75AED85C" w14:textId="77777777">
      <w:pPr>
        <w:numPr>
          <w:ilvl w:val="0"/>
          <w:numId w:val="1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>Define metrics that can affect the throughput of a network.</w:t>
      </w:r>
    </w:p>
    <w:p w:rsidR="00797A89" w:rsidRDefault="00000000" w14:paraId="4FAF2719" w14:textId="77777777">
      <w:pPr>
        <w:numPr>
          <w:ilvl w:val="0"/>
          <w:numId w:val="1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>Get experience utilizing SDRs in a lab environment.</w:t>
      </w:r>
    </w:p>
    <w:p w:rsidR="00797A89" w:rsidRDefault="00000000" w14:paraId="0D7BD6A8" w14:textId="77777777">
      <w:pPr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  <w:t xml:space="preserve">Time to complete this lab: 1-1.5 </w:t>
      </w:r>
      <w:proofErr w:type="spellStart"/>
      <w:proofErr w:type="gramStart"/>
      <w:r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  <w:t>hrs</w:t>
      </w:r>
      <w:proofErr w:type="spellEnd"/>
      <w:proofErr w:type="gramEnd"/>
      <w:r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  <w:t xml:space="preserve"> </w:t>
      </w:r>
    </w:p>
    <w:p w:rsidR="00797A89" w:rsidRDefault="00797A89" w14:paraId="62E6A613" w14:textId="77777777">
      <w:pPr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00797A89" w:rsidRDefault="00000000" w14:paraId="457E05D6" w14:textId="77777777">
      <w:pPr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  <w:t>This lab must be completed in a single sitting because the containers don’t save data once deleted.</w:t>
      </w:r>
    </w:p>
    <w:p w:rsidR="00797A89" w:rsidRDefault="00797A89" w14:paraId="0EB2C1E8" w14:textId="77777777">
      <w:pPr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00797A89" w:rsidRDefault="00000000" w14:paraId="7AC5889E" w14:textId="77777777">
      <w:pPr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  <w:t xml:space="preserve">If you have signed up for ARA’s </w:t>
      </w:r>
      <w:proofErr w:type="spellStart"/>
      <w:r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  <w:t>jumpbox</w:t>
      </w:r>
      <w:proofErr w:type="spellEnd"/>
      <w:r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  <w:t xml:space="preserve"> make sure that you have the RSA private </w:t>
      </w:r>
      <w:proofErr w:type="gramStart"/>
      <w:r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  <w:t>key</w:t>
      </w:r>
      <w:proofErr w:type="gramEnd"/>
      <w:r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  <w:t xml:space="preserve"> you use in the .ssh file of the machine you plan to use to work </w:t>
      </w:r>
      <w:proofErr w:type="gramStart"/>
      <w:r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  <w:t>on</w:t>
      </w:r>
      <w:proofErr w:type="gramEnd"/>
      <w:r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  <w:t xml:space="preserve"> the lab.</w:t>
      </w:r>
    </w:p>
    <w:p w:rsidR="00797A89" w:rsidRDefault="00797A89" w14:paraId="0716FD1A" w14:textId="77777777">
      <w:pPr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00797A89" w:rsidRDefault="00797A89" w14:paraId="17F890E9" w14:textId="77777777">
      <w:pPr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00797A89" w:rsidRDefault="00797A89" w14:paraId="35DBF28B" w14:textId="77777777">
      <w:pPr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00797A89" w:rsidRDefault="00797A89" w14:paraId="51F4854D" w14:textId="77777777">
      <w:pPr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00797A89" w:rsidRDefault="00797A89" w14:paraId="2CAACDC4" w14:textId="77777777">
      <w:pPr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00797A89" w:rsidRDefault="00797A89" w14:paraId="2FA4962C" w14:textId="77777777">
      <w:pPr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00797A89" w:rsidRDefault="00797A89" w14:paraId="5821D1C7" w14:textId="77777777">
      <w:pPr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00797A89" w:rsidRDefault="00797A89" w14:paraId="24799730" w14:textId="77777777">
      <w:pPr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00797A89" w:rsidRDefault="00797A89" w14:paraId="67A9C262" w14:textId="77777777">
      <w:pPr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00797A89" w:rsidRDefault="00797A89" w14:paraId="76932169" w14:textId="77777777">
      <w:pPr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00797A89" w:rsidRDefault="00797A89" w14:paraId="0575A3FF" w14:textId="77777777">
      <w:pPr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00797A89" w:rsidRDefault="00797A89" w14:paraId="0D212204" w14:textId="77777777">
      <w:pPr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00797A89" w:rsidRDefault="00797A89" w14:paraId="4B22A5A8" w14:textId="77777777">
      <w:pPr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00797A89" w:rsidRDefault="00797A89" w14:paraId="0B39EC56" w14:textId="77777777">
      <w:pPr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00797A89" w:rsidRDefault="00797A89" w14:paraId="482C4B99" w14:textId="77777777">
      <w:pPr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5B34D000" w:rsidP="5B34D000" w:rsidRDefault="5B34D000" w14:paraId="43DE8B49" w14:textId="552047CB">
      <w:pPr>
        <w:pStyle w:val="Normal"/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10EA68BE" w:rsidP="10EA68BE" w:rsidRDefault="10EA68BE" w14:paraId="3BE12F56" w14:textId="042A9E82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</w:pPr>
      <w:r w:rsidRPr="10EA68BE" w:rsidR="10EA68BE">
        <w:rPr>
          <w:b w:val="1"/>
          <w:bCs w:val="1"/>
        </w:rPr>
        <w:t>Table of Contents</w:t>
      </w:r>
    </w:p>
    <w:p w:rsidR="5B34D000" w:rsidP="5B34D000" w:rsidRDefault="5B34D000" w14:paraId="6D57AFAC" w14:textId="743BA622">
      <w:pPr>
        <w:pStyle w:val="Normal"/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sdt>
      <w:sdtPr>
        <w:id w:val="1235490159"/>
        <w:docPartObj>
          <w:docPartGallery w:val="Table of Contents"/>
          <w:docPartUnique/>
        </w:docPartObj>
      </w:sdtPr>
      <w:sdtContent>
        <w:p w:rsidR="5C4749FB" w:rsidP="5C4749FB" w:rsidRDefault="5C4749FB" w14:paraId="596157C2" w14:textId="7100424A">
          <w:pPr>
            <w:pStyle w:val="TOC1"/>
            <w:tabs>
              <w:tab w:val="left" w:leader="none" w:pos="435"/>
              <w:tab w:val="right" w:leader="dot" w:pos="9360"/>
            </w:tabs>
            <w:bidi w:val="0"/>
            <w:rPr>
              <w:rStyle w:val="Hyperlink"/>
            </w:rPr>
          </w:pPr>
          <w:r>
            <w:fldChar w:fldCharType="begin"/>
          </w:r>
          <w:r>
            <w:instrText xml:space="preserve">TOC \o \z \u \h</w:instrText>
          </w:r>
          <w:r>
            <w:fldChar w:fldCharType="separate"/>
          </w:r>
          <w:hyperlink w:anchor="_Toc1353561283">
            <w:r w:rsidRPr="4DE71B0E" w:rsidR="4DE71B0E">
              <w:rPr>
                <w:rStyle w:val="Hyperlink"/>
              </w:rPr>
              <w:t>1)</w:t>
            </w:r>
            <w:r>
              <w:tab/>
            </w:r>
            <w:r w:rsidRPr="4DE71B0E" w:rsidR="4DE71B0E">
              <w:rPr>
                <w:rStyle w:val="Hyperlink"/>
              </w:rPr>
              <w:t>Log on to the ARA portal.</w:t>
            </w:r>
            <w:r>
              <w:tab/>
            </w:r>
            <w:r>
              <w:fldChar w:fldCharType="begin"/>
            </w:r>
            <w:r>
              <w:instrText xml:space="preserve">PAGEREF _Toc1353561283 \h</w:instrText>
            </w:r>
            <w:r>
              <w:fldChar w:fldCharType="separate"/>
            </w:r>
            <w:r w:rsidRPr="4DE71B0E" w:rsidR="4DE71B0E">
              <w:rPr>
                <w:rStyle w:val="Hyperlink"/>
              </w:rPr>
              <w:t>4</w:t>
            </w:r>
            <w:r>
              <w:fldChar w:fldCharType="end"/>
            </w:r>
          </w:hyperlink>
        </w:p>
        <w:p w:rsidR="713111B9" w:rsidP="713111B9" w:rsidRDefault="713111B9" w14:paraId="3584A917" w14:textId="00F74E01">
          <w:pPr>
            <w:pStyle w:val="TOC1"/>
            <w:tabs>
              <w:tab w:val="left" w:leader="none" w:pos="435"/>
              <w:tab w:val="right" w:leader="dot" w:pos="9360"/>
            </w:tabs>
            <w:bidi w:val="0"/>
            <w:rPr>
              <w:rStyle w:val="Hyperlink"/>
            </w:rPr>
          </w:pPr>
          <w:hyperlink w:anchor="_Toc1206917366">
            <w:r w:rsidRPr="4DE71B0E" w:rsidR="4DE71B0E">
              <w:rPr>
                <w:rStyle w:val="Hyperlink"/>
              </w:rPr>
              <w:t>2)</w:t>
            </w:r>
            <w:r>
              <w:tab/>
            </w:r>
            <w:r w:rsidRPr="4DE71B0E" w:rsidR="4DE71B0E">
              <w:rPr>
                <w:rStyle w:val="Hyperlink"/>
              </w:rPr>
              <w:t>Reserve two sandbox hosts.</w:t>
            </w:r>
            <w:r>
              <w:tab/>
            </w:r>
            <w:r>
              <w:fldChar w:fldCharType="begin"/>
            </w:r>
            <w:r>
              <w:instrText xml:space="preserve">PAGEREF _Toc1206917366 \h</w:instrText>
            </w:r>
            <w:r>
              <w:fldChar w:fldCharType="separate"/>
            </w:r>
            <w:r w:rsidRPr="4DE71B0E" w:rsidR="4DE71B0E">
              <w:rPr>
                <w:rStyle w:val="Hyperlink"/>
              </w:rPr>
              <w:t>5</w:t>
            </w:r>
            <w:r>
              <w:fldChar w:fldCharType="end"/>
            </w:r>
          </w:hyperlink>
        </w:p>
        <w:p w:rsidR="713111B9" w:rsidP="713111B9" w:rsidRDefault="713111B9" w14:paraId="6C5B1A89" w14:textId="5BCEC69A">
          <w:pPr>
            <w:pStyle w:val="TOC1"/>
            <w:tabs>
              <w:tab w:val="left" w:leader="none" w:pos="435"/>
              <w:tab w:val="right" w:leader="dot" w:pos="9360"/>
            </w:tabs>
            <w:bidi w:val="0"/>
            <w:rPr>
              <w:rStyle w:val="Hyperlink"/>
            </w:rPr>
          </w:pPr>
          <w:hyperlink w:anchor="_Toc1700453540">
            <w:r w:rsidRPr="4DE71B0E" w:rsidR="4DE71B0E">
              <w:rPr>
                <w:rStyle w:val="Hyperlink"/>
              </w:rPr>
              <w:t>3)</w:t>
            </w:r>
            <w:r>
              <w:tab/>
            </w:r>
            <w:r w:rsidRPr="4DE71B0E" w:rsidR="4DE71B0E">
              <w:rPr>
                <w:rStyle w:val="Hyperlink"/>
              </w:rPr>
              <w:t>Create two containers.</w:t>
            </w:r>
            <w:r>
              <w:tab/>
            </w:r>
            <w:r>
              <w:fldChar w:fldCharType="begin"/>
            </w:r>
            <w:r>
              <w:instrText xml:space="preserve">PAGEREF _Toc1700453540 \h</w:instrText>
            </w:r>
            <w:r>
              <w:fldChar w:fldCharType="separate"/>
            </w:r>
            <w:r w:rsidRPr="4DE71B0E" w:rsidR="4DE71B0E">
              <w:rPr>
                <w:rStyle w:val="Hyperlink"/>
              </w:rPr>
              <w:t>12</w:t>
            </w:r>
            <w:r>
              <w:fldChar w:fldCharType="end"/>
            </w:r>
          </w:hyperlink>
        </w:p>
        <w:p w:rsidR="713111B9" w:rsidP="713111B9" w:rsidRDefault="713111B9" w14:paraId="05E18CA7" w14:textId="37C6080E">
          <w:pPr>
            <w:pStyle w:val="TOC1"/>
            <w:tabs>
              <w:tab w:val="left" w:leader="none" w:pos="435"/>
              <w:tab w:val="right" w:leader="dot" w:pos="9360"/>
            </w:tabs>
            <w:bidi w:val="0"/>
            <w:rPr>
              <w:rStyle w:val="Hyperlink"/>
            </w:rPr>
          </w:pPr>
          <w:hyperlink w:anchor="_Toc143753540">
            <w:r w:rsidRPr="4DE71B0E" w:rsidR="4DE71B0E">
              <w:rPr>
                <w:rStyle w:val="Hyperlink"/>
              </w:rPr>
              <w:t>4)</w:t>
            </w:r>
            <w:r>
              <w:tab/>
            </w:r>
            <w:r w:rsidRPr="4DE71B0E" w:rsidR="4DE71B0E">
              <w:rPr>
                <w:rStyle w:val="Hyperlink"/>
              </w:rPr>
              <w:t>Connect to containers using jumpbox.</w:t>
            </w:r>
            <w:r>
              <w:tab/>
            </w:r>
            <w:r>
              <w:fldChar w:fldCharType="begin"/>
            </w:r>
            <w:r>
              <w:instrText xml:space="preserve">PAGEREF _Toc143753540 \h</w:instrText>
            </w:r>
            <w:r>
              <w:fldChar w:fldCharType="separate"/>
            </w:r>
            <w:r w:rsidRPr="4DE71B0E" w:rsidR="4DE71B0E">
              <w:rPr>
                <w:rStyle w:val="Hyperlink"/>
              </w:rPr>
              <w:t>18</w:t>
            </w:r>
            <w:r>
              <w:fldChar w:fldCharType="end"/>
            </w:r>
          </w:hyperlink>
        </w:p>
        <w:p w:rsidR="713111B9" w:rsidP="713111B9" w:rsidRDefault="713111B9" w14:paraId="7BA14F61" w14:textId="05081693">
          <w:pPr>
            <w:pStyle w:val="TOC1"/>
            <w:tabs>
              <w:tab w:val="left" w:leader="none" w:pos="435"/>
              <w:tab w:val="right" w:leader="dot" w:pos="9360"/>
            </w:tabs>
            <w:bidi w:val="0"/>
            <w:rPr>
              <w:rStyle w:val="Hyperlink"/>
            </w:rPr>
          </w:pPr>
          <w:hyperlink w:anchor="_Toc2026629602">
            <w:r w:rsidRPr="4DE71B0E" w:rsidR="4DE71B0E">
              <w:rPr>
                <w:rStyle w:val="Hyperlink"/>
              </w:rPr>
              <w:t>5)</w:t>
            </w:r>
            <w:r>
              <w:tab/>
            </w:r>
            <w:r w:rsidRPr="4DE71B0E" w:rsidR="4DE71B0E">
              <w:rPr>
                <w:rStyle w:val="Hyperlink"/>
              </w:rPr>
              <w:t>Starting the EPC and eNB</w:t>
            </w:r>
            <w:r>
              <w:tab/>
            </w:r>
            <w:r>
              <w:fldChar w:fldCharType="begin"/>
            </w:r>
            <w:r>
              <w:instrText xml:space="preserve">PAGEREF _Toc2026629602 \h</w:instrText>
            </w:r>
            <w:r>
              <w:fldChar w:fldCharType="separate"/>
            </w:r>
            <w:r w:rsidRPr="4DE71B0E" w:rsidR="4DE71B0E">
              <w:rPr>
                <w:rStyle w:val="Hyperlink"/>
              </w:rPr>
              <w:t>22</w:t>
            </w:r>
            <w:r>
              <w:fldChar w:fldCharType="end"/>
            </w:r>
          </w:hyperlink>
        </w:p>
        <w:p w:rsidR="713111B9" w:rsidP="713111B9" w:rsidRDefault="713111B9" w14:paraId="0CC11186" w14:textId="50B7E85E">
          <w:pPr>
            <w:pStyle w:val="TOC1"/>
            <w:tabs>
              <w:tab w:val="left" w:leader="none" w:pos="435"/>
              <w:tab w:val="right" w:leader="dot" w:pos="9360"/>
            </w:tabs>
            <w:bidi w:val="0"/>
            <w:rPr>
              <w:rStyle w:val="Hyperlink"/>
            </w:rPr>
          </w:pPr>
          <w:hyperlink w:anchor="_Toc595496268">
            <w:r w:rsidRPr="4DE71B0E" w:rsidR="4DE71B0E">
              <w:rPr>
                <w:rStyle w:val="Hyperlink"/>
              </w:rPr>
              <w:t>6)</w:t>
            </w:r>
            <w:r>
              <w:tab/>
            </w:r>
            <w:r w:rsidRPr="4DE71B0E" w:rsidR="4DE71B0E">
              <w:rPr>
                <w:rStyle w:val="Hyperlink"/>
              </w:rPr>
              <w:t>Starting the UE</w:t>
            </w:r>
            <w:r>
              <w:tab/>
            </w:r>
            <w:r>
              <w:fldChar w:fldCharType="begin"/>
            </w:r>
            <w:r>
              <w:instrText xml:space="preserve">PAGEREF _Toc595496268 \h</w:instrText>
            </w:r>
            <w:r>
              <w:fldChar w:fldCharType="separate"/>
            </w:r>
            <w:r w:rsidRPr="4DE71B0E" w:rsidR="4DE71B0E">
              <w:rPr>
                <w:rStyle w:val="Hyperlink"/>
              </w:rPr>
              <w:t>23</w:t>
            </w:r>
            <w:r>
              <w:fldChar w:fldCharType="end"/>
            </w:r>
          </w:hyperlink>
        </w:p>
        <w:p w:rsidR="713111B9" w:rsidP="713111B9" w:rsidRDefault="713111B9" w14:paraId="1EB2F8F9" w14:textId="29700570">
          <w:pPr>
            <w:pStyle w:val="TOC1"/>
            <w:tabs>
              <w:tab w:val="left" w:leader="none" w:pos="435"/>
              <w:tab w:val="right" w:leader="dot" w:pos="9360"/>
            </w:tabs>
            <w:bidi w:val="0"/>
            <w:rPr>
              <w:rStyle w:val="Hyperlink"/>
            </w:rPr>
          </w:pPr>
          <w:hyperlink w:anchor="_Toc630210274">
            <w:r w:rsidRPr="4DE71B0E" w:rsidR="4DE71B0E">
              <w:rPr>
                <w:rStyle w:val="Hyperlink"/>
              </w:rPr>
              <w:t>7)</w:t>
            </w:r>
            <w:r>
              <w:tab/>
            </w:r>
            <w:r w:rsidRPr="4DE71B0E" w:rsidR="4DE71B0E">
              <w:rPr>
                <w:rStyle w:val="Hyperlink"/>
              </w:rPr>
              <w:t>Running the throughput test</w:t>
            </w:r>
            <w:r>
              <w:tab/>
            </w:r>
            <w:r>
              <w:fldChar w:fldCharType="begin"/>
            </w:r>
            <w:r>
              <w:instrText xml:space="preserve">PAGEREF _Toc630210274 \h</w:instrText>
            </w:r>
            <w:r>
              <w:fldChar w:fldCharType="separate"/>
            </w:r>
            <w:r w:rsidRPr="4DE71B0E" w:rsidR="4DE71B0E">
              <w:rPr>
                <w:rStyle w:val="Hyperlink"/>
              </w:rPr>
              <w:t>23</w:t>
            </w:r>
            <w:r>
              <w:fldChar w:fldCharType="end"/>
            </w:r>
          </w:hyperlink>
        </w:p>
        <w:p w:rsidR="713111B9" w:rsidP="713111B9" w:rsidRDefault="713111B9" w14:paraId="4C94F4CD" w14:textId="7EF21A18">
          <w:pPr>
            <w:pStyle w:val="TOC1"/>
            <w:tabs>
              <w:tab w:val="left" w:leader="none" w:pos="435"/>
              <w:tab w:val="right" w:leader="dot" w:pos="9360"/>
            </w:tabs>
            <w:bidi w:val="0"/>
            <w:rPr>
              <w:rStyle w:val="Hyperlink"/>
            </w:rPr>
          </w:pPr>
          <w:hyperlink w:anchor="_Toc993109410">
            <w:r w:rsidRPr="4DE71B0E" w:rsidR="4DE71B0E">
              <w:rPr>
                <w:rStyle w:val="Hyperlink"/>
              </w:rPr>
              <w:t>8)</w:t>
            </w:r>
            <w:r>
              <w:tab/>
            </w:r>
            <w:r w:rsidRPr="4DE71B0E" w:rsidR="4DE71B0E">
              <w:rPr>
                <w:rStyle w:val="Hyperlink"/>
              </w:rPr>
              <w:t>(Optional) create new UE</w:t>
            </w:r>
            <w:r>
              <w:tab/>
            </w:r>
            <w:r>
              <w:fldChar w:fldCharType="begin"/>
            </w:r>
            <w:r>
              <w:instrText xml:space="preserve">PAGEREF _Toc993109410 \h</w:instrText>
            </w:r>
            <w:r>
              <w:fldChar w:fldCharType="separate"/>
            </w:r>
            <w:r w:rsidRPr="4DE71B0E" w:rsidR="4DE71B0E">
              <w:rPr>
                <w:rStyle w:val="Hyperlink"/>
              </w:rPr>
              <w:t>23</w:t>
            </w:r>
            <w:r>
              <w:fldChar w:fldCharType="end"/>
            </w:r>
          </w:hyperlink>
        </w:p>
        <w:p w:rsidR="713111B9" w:rsidP="713111B9" w:rsidRDefault="713111B9" w14:paraId="4DBD1663" w14:textId="459A7D9C">
          <w:pPr>
            <w:pStyle w:val="TOC1"/>
            <w:tabs>
              <w:tab w:val="left" w:leader="none" w:pos="435"/>
              <w:tab w:val="right" w:leader="dot" w:pos="9360"/>
            </w:tabs>
            <w:bidi w:val="0"/>
            <w:rPr>
              <w:rStyle w:val="Hyperlink"/>
            </w:rPr>
          </w:pPr>
          <w:hyperlink w:anchor="_Toc1701641367">
            <w:r w:rsidRPr="4DE71B0E" w:rsidR="4DE71B0E">
              <w:rPr>
                <w:rStyle w:val="Hyperlink"/>
              </w:rPr>
              <w:t>9)</w:t>
            </w:r>
            <w:r>
              <w:tab/>
            </w:r>
            <w:r w:rsidRPr="4DE71B0E" w:rsidR="4DE71B0E">
              <w:rPr>
                <w:rStyle w:val="Hyperlink"/>
              </w:rPr>
              <w:t>Deleting Leases</w:t>
            </w:r>
            <w:r>
              <w:tab/>
            </w:r>
            <w:r>
              <w:fldChar w:fldCharType="begin"/>
            </w:r>
            <w:r>
              <w:instrText xml:space="preserve">PAGEREF _Toc1701641367 \h</w:instrText>
            </w:r>
            <w:r>
              <w:fldChar w:fldCharType="separate"/>
            </w:r>
            <w:r w:rsidRPr="4DE71B0E" w:rsidR="4DE71B0E">
              <w:rPr>
                <w:rStyle w:val="Hyperlink"/>
              </w:rPr>
              <w:t>23</w:t>
            </w:r>
            <w:r>
              <w:fldChar w:fldCharType="end"/>
            </w:r>
          </w:hyperlink>
          <w:r>
            <w:fldChar w:fldCharType="end"/>
          </w:r>
        </w:p>
      </w:sdtContent>
    </w:sdt>
    <w:p w:rsidR="5B34D000" w:rsidP="5B34D000" w:rsidRDefault="5B34D000" w14:paraId="183ECF01" w14:textId="55369E50">
      <w:pPr>
        <w:pStyle w:val="Normal"/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5B34D000" w:rsidP="5B34D000" w:rsidRDefault="5B34D000" w14:paraId="4E5DC02F" w14:textId="731804E2">
      <w:pPr>
        <w:pStyle w:val="Normal"/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5B34D000" w:rsidP="5B34D000" w:rsidRDefault="5B34D000" w14:paraId="2540B972" w14:textId="401A7554">
      <w:pPr>
        <w:pStyle w:val="Normal"/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5B34D000" w:rsidP="5B34D000" w:rsidRDefault="5B34D000" w14:paraId="6A397DB3" w14:textId="00686A82">
      <w:pPr>
        <w:pStyle w:val="Normal"/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5B34D000" w:rsidP="5B34D000" w:rsidRDefault="5B34D000" w14:paraId="00CD8736" w14:textId="7CAF3D9F">
      <w:pPr>
        <w:pStyle w:val="Normal"/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5B34D000" w:rsidP="5B34D000" w:rsidRDefault="5B34D000" w14:paraId="4137EA73" w14:textId="0E6CD777">
      <w:pPr>
        <w:pStyle w:val="Normal"/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5B34D000" w:rsidP="5B34D000" w:rsidRDefault="5B34D000" w14:paraId="30E6F2F5" w14:textId="040D9EA6">
      <w:pPr>
        <w:pStyle w:val="Normal"/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5B34D000" w:rsidP="5B34D000" w:rsidRDefault="5B34D000" w14:paraId="50BA3365" w14:textId="7A594D1E">
      <w:pPr>
        <w:pStyle w:val="Normal"/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5B34D000" w:rsidP="5B34D000" w:rsidRDefault="5B34D000" w14:paraId="2CBDCE6B" w14:textId="7CB8282E">
      <w:pPr>
        <w:pStyle w:val="Normal"/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5B34D000" w:rsidP="5B34D000" w:rsidRDefault="5B34D000" w14:paraId="47018B5E" w14:textId="7CBB122D">
      <w:pPr>
        <w:pStyle w:val="Normal"/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5B34D000" w:rsidP="5B34D000" w:rsidRDefault="5B34D000" w14:paraId="3B42827A" w14:textId="7DD51603">
      <w:pPr>
        <w:pStyle w:val="Normal"/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5B34D000" w:rsidP="5B34D000" w:rsidRDefault="5B34D000" w14:paraId="0895427A" w14:textId="6B6819BA">
      <w:pPr>
        <w:pStyle w:val="Normal"/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5B34D000" w:rsidP="5B34D000" w:rsidRDefault="5B34D000" w14:paraId="757FCBF0" w14:textId="4F891121">
      <w:pPr>
        <w:pStyle w:val="Normal"/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5B34D000" w:rsidP="5B34D000" w:rsidRDefault="5B34D000" w14:paraId="562B1ECA" w14:textId="72D8A606">
      <w:pPr>
        <w:pStyle w:val="Normal"/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5B34D000" w:rsidP="5B34D000" w:rsidRDefault="5B34D000" w14:paraId="33656C54" w14:textId="1B39CA7C">
      <w:pPr>
        <w:pStyle w:val="Normal"/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5B34D000" w:rsidP="5B34D000" w:rsidRDefault="5B34D000" w14:paraId="3E3C5A54" w14:textId="0F7F39DC">
      <w:pPr>
        <w:pStyle w:val="Normal"/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5B34D000" w:rsidP="5B34D000" w:rsidRDefault="5B34D000" w14:paraId="09972470" w14:textId="107C32ED">
      <w:pPr>
        <w:pStyle w:val="Normal"/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5B34D000" w:rsidP="5B34D000" w:rsidRDefault="5B34D000" w14:paraId="0D428446" w14:textId="7A8BAD35">
      <w:pPr>
        <w:pStyle w:val="Normal"/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5B34D000" w:rsidP="5B34D000" w:rsidRDefault="5B34D000" w14:paraId="385E8507" w14:textId="06D97868">
      <w:pPr>
        <w:pStyle w:val="Normal"/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5B34D000" w:rsidP="5B34D000" w:rsidRDefault="5B34D000" w14:paraId="731EE959" w14:textId="75D45EB3">
      <w:pPr>
        <w:pStyle w:val="Normal"/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5B34D000" w:rsidP="5B34D000" w:rsidRDefault="5B34D000" w14:paraId="72D6C6EC" w14:textId="1664B258">
      <w:pPr>
        <w:pStyle w:val="Normal"/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4DE71B0E" w:rsidP="4DE71B0E" w:rsidRDefault="4DE71B0E" w14:paraId="39C8AB90" w14:textId="2D823A6D">
      <w:pPr>
        <w:pStyle w:val="Normal"/>
        <w:spacing w:line="360" w:lineRule="auto"/>
        <w:rPr>
          <w:rFonts w:ascii="Times New Roman" w:hAnsi="Times New Roman" w:eastAsia="Times New Roman" w:cs="Times New Roman"/>
          <w:color w:val="A61C00"/>
          <w:sz w:val="24"/>
          <w:szCs w:val="24"/>
          <w:highlight w:val="white"/>
        </w:rPr>
      </w:pPr>
    </w:p>
    <w:p w:rsidR="00797A89" w:rsidP="5C4749FB" w:rsidRDefault="00000000" w14:paraId="665D1ACD" w14:textId="77777777">
      <w:pPr>
        <w:pStyle w:val="Heading1"/>
        <w:rPr>
          <w:rFonts w:ascii="Times New Roman" w:hAnsi="Times New Roman" w:eastAsia="Times New Roman" w:cs="Times New Roman"/>
          <w:sz w:val="30"/>
          <w:szCs w:val="30"/>
          <w:highlight w:val="white"/>
        </w:rPr>
      </w:pPr>
      <w:bookmarkStart w:name="_Toc1639424378" w:id="1523821359"/>
      <w:bookmarkStart w:name="_Toc726681716" w:id="1153901221"/>
      <w:bookmarkStart w:name="_Toc1353561283" w:id="1819636500"/>
      <w:r w:rsidRPr="4DE71B0E" w:rsidR="4DE71B0E">
        <w:rPr>
          <w:highlight w:val="white"/>
        </w:rPr>
        <w:t>Log on to the ARA portal.</w:t>
      </w:r>
      <w:bookmarkEnd w:id="1523821359"/>
      <w:bookmarkEnd w:id="1153901221"/>
      <w:bookmarkEnd w:id="1819636500"/>
    </w:p>
    <w:p w:rsidR="00797A89" w:rsidRDefault="00000000" w14:paraId="1CDA0BBB" w14:textId="77777777">
      <w:pPr>
        <w:numPr>
          <w:ilvl w:val="1"/>
          <w:numId w:val="2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Using your school credentials, log in at </w:t>
      </w:r>
      <w:hyperlink r:id="rId9">
        <w:r>
          <w:rPr>
            <w:rFonts w:ascii="Times New Roman" w:hAnsi="Times New Roman" w:eastAsia="Times New Roman" w:cs="Times New Roman"/>
            <w:color w:val="1155CC"/>
            <w:sz w:val="24"/>
            <w:szCs w:val="24"/>
            <w:highlight w:val="white"/>
            <w:u w:val="single"/>
          </w:rPr>
          <w:t>ARA log-in portal</w:t>
        </w:r>
      </w:hyperlink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>.</w:t>
      </w:r>
    </w:p>
    <w:p w:rsidR="00797A89" w:rsidRDefault="00797A89" w14:paraId="7400D5EE" w14:textId="77777777">
      <w:pPr>
        <w:spacing w:line="360" w:lineRule="auto"/>
        <w:ind w:left="720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000000" w14:paraId="5F1BF2DC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0CAEE0D8" wp14:editId="2BF487AD">
            <wp:extent cx="3287225" cy="3175081"/>
            <wp:effectExtent l="0" t="0" r="0" b="0"/>
            <wp:docPr id="2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7225" cy="31750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000000" w14:paraId="4E40D53C" w14:textId="77777777">
      <w:pPr>
        <w:numPr>
          <w:ilvl w:val="1"/>
          <w:numId w:val="2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>Search for “Iowa State University” in the search bar and press continue to be redirected to Okta.</w:t>
      </w:r>
    </w:p>
    <w:p w:rsidR="00797A89" w:rsidRDefault="00000000" w14:paraId="28414D8B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lastRenderedPageBreak/>
        <w:drawing>
          <wp:inline distT="114300" distB="114300" distL="114300" distR="114300" wp14:anchorId="5F05BD14" wp14:editId="7A33A22C">
            <wp:extent cx="3471863" cy="3813357"/>
            <wp:effectExtent l="0" t="0" r="0" b="0"/>
            <wp:docPr id="53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1863" cy="3813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797A89" w14:paraId="6C4892CD" w14:textId="77777777">
      <w:pPr>
        <w:spacing w:line="360" w:lineRule="auto"/>
        <w:ind w:left="1440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P="713111B9" w:rsidRDefault="00000000" w14:paraId="3734C35A" w14:textId="77777777">
      <w:pPr>
        <w:pStyle w:val="Heading1"/>
        <w:rPr>
          <w:rFonts w:ascii="Times New Roman" w:hAnsi="Times New Roman" w:eastAsia="Times New Roman" w:cs="Times New Roman"/>
          <w:sz w:val="30"/>
          <w:szCs w:val="30"/>
          <w:highlight w:val="white"/>
        </w:rPr>
      </w:pPr>
      <w:bookmarkStart w:name="_Toc1206917366" w:id="1887750326"/>
      <w:r w:rsidRPr="4DE71B0E" w:rsidR="4DE71B0E">
        <w:rPr>
          <w:highlight w:val="white"/>
        </w:rPr>
        <w:t>Reserve two sandbox hosts.</w:t>
      </w:r>
      <w:bookmarkEnd w:id="1887750326"/>
    </w:p>
    <w:p w:rsidR="00797A89" w:rsidRDefault="00000000" w14:paraId="7E37175A" w14:textId="77777777">
      <w:pPr>
        <w:numPr>
          <w:ilvl w:val="1"/>
          <w:numId w:val="2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Go to </w:t>
      </w:r>
      <w:hyperlink r:id="rId12">
        <w:r>
          <w:rPr>
            <w:rFonts w:ascii="Times New Roman" w:hAnsi="Times New Roman" w:eastAsia="Times New Roman" w:cs="Times New Roman"/>
            <w:color w:val="1155CC"/>
            <w:sz w:val="24"/>
            <w:szCs w:val="24"/>
            <w:highlight w:val="white"/>
            <w:u w:val="single"/>
          </w:rPr>
          <w:t>ARA Sandbox Service</w:t>
        </w:r>
      </w:hyperlink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and pick two machines. Any two machines in a cluster like those in the image below are a good choice. For future examples, Sandbox-Host 006 and Sandbox-Host 009 will be used.</w:t>
      </w:r>
    </w:p>
    <w:p w:rsidR="00797A89" w:rsidRDefault="00000000" w14:paraId="2287D8B9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29E16021" wp14:editId="4631AC6D">
            <wp:extent cx="2109788" cy="2756907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9788" cy="27569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797A89" w14:paraId="509202F4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000000" w14:paraId="0C882B00" w14:textId="77777777">
      <w:pPr>
        <w:numPr>
          <w:ilvl w:val="1"/>
          <w:numId w:val="2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Cardo" w:hAnsi="Cardo" w:eastAsia="Cardo" w:cs="Cardo"/>
          <w:sz w:val="24"/>
          <w:szCs w:val="24"/>
          <w:highlight w:val="white"/>
        </w:rPr>
        <w:t xml:space="preserve">On the ARA portal, navigate to Reservations → Leases → Host Calendar </w:t>
      </w:r>
    </w:p>
    <w:p w:rsidR="00797A89" w:rsidRDefault="00000000" w14:paraId="5EE6691A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7AB0B4A6" wp14:editId="680F4973">
            <wp:extent cx="2911470" cy="2862263"/>
            <wp:effectExtent l="0" t="0" r="0" b="0"/>
            <wp:docPr id="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470" cy="2862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2D81B870" wp14:editId="648D7D99">
            <wp:extent cx="1914525" cy="1615883"/>
            <wp:effectExtent l="0" t="0" r="0" b="0"/>
            <wp:docPr id="32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6158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797A89" w14:paraId="485AFCF0" w14:textId="77777777">
      <w:pPr>
        <w:spacing w:line="360" w:lineRule="auto"/>
        <w:ind w:left="1440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797A89" w14:paraId="65A64BA4" w14:textId="77777777">
      <w:pPr>
        <w:spacing w:line="360" w:lineRule="auto"/>
        <w:ind w:left="1440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797A89" w14:paraId="37B0C538" w14:textId="77777777">
      <w:pPr>
        <w:spacing w:line="360" w:lineRule="auto"/>
        <w:ind w:left="1440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000000" w14:paraId="138ACBBD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ab/>
      </w:r>
    </w:p>
    <w:p w:rsidR="00797A89" w:rsidRDefault="00000000" w14:paraId="4EB6D5B2" w14:textId="77777777">
      <w:pPr>
        <w:numPr>
          <w:ilvl w:val="1"/>
          <w:numId w:val="2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>Ensure the hosts you chose are free to reserve. The image below shows Sandbox-Host-006 and 009 are available. Sandbox-Host 003 is currently reserved see reservation details by hovering your mouse over the colored block.</w:t>
      </w:r>
    </w:p>
    <w:p w:rsidR="00797A89" w:rsidRDefault="00000000" w14:paraId="5730E4CE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2318396A" wp14:editId="735F6162">
            <wp:extent cx="5430180" cy="2405063"/>
            <wp:effectExtent l="0" t="0" r="0" b="0"/>
            <wp:docPr id="3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0180" cy="2405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797A89" w14:paraId="09C69632" w14:textId="77777777">
      <w:pPr>
        <w:spacing w:line="360" w:lineRule="auto"/>
        <w:ind w:left="1440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797A89" w14:paraId="227CAA19" w14:textId="77777777">
      <w:pPr>
        <w:spacing w:line="360" w:lineRule="auto"/>
        <w:ind w:left="1440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797A89" w14:paraId="239641D2" w14:textId="77777777">
      <w:pPr>
        <w:spacing w:line="360" w:lineRule="auto"/>
        <w:ind w:left="1440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000000" w14:paraId="5667ECBB" w14:textId="77777777">
      <w:pPr>
        <w:numPr>
          <w:ilvl w:val="1"/>
          <w:numId w:val="2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Create the first lease by clicking create lease next to host calendar. </w:t>
      </w:r>
    </w:p>
    <w:p w:rsidR="00797A89" w:rsidRDefault="00000000" w14:paraId="6BF19ACC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2D27F08D" wp14:editId="7044261D">
            <wp:extent cx="2686050" cy="2590800"/>
            <wp:effectExtent l="0" t="0" r="0" b="0"/>
            <wp:docPr id="31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797A89" w14:paraId="2ECC6E49" w14:textId="77777777">
      <w:pPr>
        <w:spacing w:line="360" w:lineRule="auto"/>
        <w:ind w:left="1440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000000" w14:paraId="73AFA8D4" w14:textId="77777777">
      <w:pPr>
        <w:numPr>
          <w:ilvl w:val="1"/>
          <w:numId w:val="2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You can choose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>a lease</w:t>
      </w:r>
      <w:proofErr w:type="gramEnd"/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name. However, using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>eNBLease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as the lease name is recommended to make things less confusing moving forward. The start and end date can be left blank.</w:t>
      </w:r>
    </w:p>
    <w:p w:rsidR="00797A89" w:rsidRDefault="00000000" w14:paraId="34ECC3B4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01771F06" wp14:editId="51EDDFA7">
            <wp:extent cx="5121917" cy="2900363"/>
            <wp:effectExtent l="0" t="0" r="0" b="0"/>
            <wp:docPr id="28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1917" cy="2900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</w:t>
      </w:r>
    </w:p>
    <w:p w:rsidR="00797A89" w:rsidRDefault="00797A89" w14:paraId="7A1C9F70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000000" w14:paraId="371D7DBB" w14:textId="77777777">
      <w:pPr>
        <w:numPr>
          <w:ilvl w:val="1"/>
          <w:numId w:val="2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>Use the Site dropdown menu and select Sandbox. Use the trailing numbers from Sandbox-Host-xxx for the device ID. For example, I will use Sandbox-Host-006.</w:t>
      </w:r>
    </w:p>
    <w:p w:rsidR="00797A89" w:rsidRDefault="00000000" w14:paraId="016D3419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lastRenderedPageBreak/>
        <w:drawing>
          <wp:inline distT="114300" distB="114300" distL="114300" distR="114300" wp14:anchorId="2DA9E588" wp14:editId="69D76BDE">
            <wp:extent cx="4819650" cy="3268818"/>
            <wp:effectExtent l="0" t="0" r="0" b="0"/>
            <wp:docPr id="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268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797A89" w14:paraId="5574494B" w14:textId="77777777">
      <w:pPr>
        <w:spacing w:line="360" w:lineRule="auto"/>
        <w:ind w:left="1440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797A89" w14:paraId="692CB483" w14:textId="77777777">
      <w:pPr>
        <w:spacing w:line="360" w:lineRule="auto"/>
        <w:ind w:left="1440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000000" w14:paraId="7315EAF7" w14:textId="77777777">
      <w:pPr>
        <w:numPr>
          <w:ilvl w:val="1"/>
          <w:numId w:val="2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>Leave the wireless section of the lease blank and click create lease.</w:t>
      </w:r>
    </w:p>
    <w:p w:rsidR="00797A89" w:rsidRDefault="00000000" w14:paraId="2AE3FCB8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08521F35" wp14:editId="5183FBE2">
            <wp:extent cx="5275885" cy="2671763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885" cy="2671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797A89" w14:paraId="0762E368" w14:textId="77777777">
      <w:pPr>
        <w:spacing w:line="360" w:lineRule="auto"/>
        <w:ind w:left="1440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000000" w14:paraId="77BAC7F9" w14:textId="77777777">
      <w:pPr>
        <w:numPr>
          <w:ilvl w:val="1"/>
          <w:numId w:val="2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If done correctly with an available host the following messages will appear at the top right of the screen. </w:t>
      </w:r>
    </w:p>
    <w:p w:rsidR="00797A89" w:rsidRDefault="00000000" w14:paraId="53968854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lastRenderedPageBreak/>
        <w:drawing>
          <wp:inline distT="114300" distB="114300" distL="114300" distR="114300" wp14:anchorId="4F62FFD1" wp14:editId="23FCD24A">
            <wp:extent cx="3962400" cy="2181225"/>
            <wp:effectExtent l="0" t="0" r="0" b="0"/>
            <wp:docPr id="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18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000000" w14:paraId="50F8D582" w14:textId="77777777">
      <w:pPr>
        <w:numPr>
          <w:ilvl w:val="1"/>
          <w:numId w:val="2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Do the same for the second lease using your other available host. Using the lease name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>UELease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is recommended to avoid confusion later. For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>Example</w:t>
      </w:r>
      <w:proofErr w:type="gramEnd"/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I use Sandbox-Host-009</w:t>
      </w:r>
    </w:p>
    <w:p w:rsidR="00797A89" w:rsidRDefault="00000000" w14:paraId="7523B1A4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351C20CC" wp14:editId="132309A1">
            <wp:extent cx="5151155" cy="2856086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1155" cy="28560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0366B6" w14:paraId="7562E37A" w14:textId="513179AF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 w:rsidRPr="000366B6">
        <w:rPr>
          <w:rFonts w:ascii="Times New Roman" w:hAnsi="Times New Roman" w:eastAsia="Times New Roman" w:cs="Times New Roman"/>
          <w:noProof/>
          <w:sz w:val="24"/>
          <w:szCs w:val="24"/>
        </w:rPr>
        <w:lastRenderedPageBreak/>
        <w:drawing>
          <wp:inline distT="0" distB="0" distL="0" distR="0" wp14:anchorId="492D1363" wp14:editId="23E5C205">
            <wp:extent cx="4746929" cy="3133176"/>
            <wp:effectExtent l="0" t="0" r="0" b="0"/>
            <wp:docPr id="7329534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953482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4650" cy="313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A89" w:rsidRDefault="00000000" w14:paraId="6DBDA5BF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6E3D990F" wp14:editId="4C25C0A5">
            <wp:extent cx="4681538" cy="2362402"/>
            <wp:effectExtent l="0" t="0" r="0" b="0"/>
            <wp:docPr id="22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538" cy="23624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5F5C5EDE" wp14:editId="75B05E2F">
            <wp:extent cx="3752850" cy="1933575"/>
            <wp:effectExtent l="0" t="0" r="0" b="0"/>
            <wp:docPr id="2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000000" w14:paraId="1F8C75EB" w14:textId="77777777">
      <w:pPr>
        <w:numPr>
          <w:ilvl w:val="1"/>
          <w:numId w:val="2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Provide a screenshot of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>both of the successfully</w:t>
      </w:r>
      <w:proofErr w:type="gramEnd"/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created hosts’ lease details in your lab report. To see lease details click on the blue lease name. </w:t>
      </w:r>
    </w:p>
    <w:p w:rsidR="00797A89" w:rsidRDefault="00797A89" w14:paraId="6A9470A4" w14:textId="77777777">
      <w:pPr>
        <w:spacing w:line="360" w:lineRule="auto"/>
        <w:ind w:left="1440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000000" w14:paraId="5BB22D3A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0A1A34BA" wp14:editId="2A657C98">
            <wp:extent cx="4524375" cy="2190750"/>
            <wp:effectExtent l="0" t="0" r="0" b="0"/>
            <wp:docPr id="34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190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000000" w14:paraId="5D7DE841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12698F77" wp14:editId="76B17D34">
            <wp:extent cx="3373350" cy="3700463"/>
            <wp:effectExtent l="0" t="0" r="0" b="0"/>
            <wp:docPr id="2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3350" cy="3700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797A89" w14:paraId="4243EBD1" w14:textId="77777777">
      <w:pPr>
        <w:spacing w:line="360" w:lineRule="auto"/>
        <w:ind w:left="1440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000000" w14:paraId="42BA8179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lastRenderedPageBreak/>
        <w:drawing>
          <wp:inline distT="114300" distB="114300" distL="114300" distR="114300" wp14:anchorId="121D1DD8" wp14:editId="020E94F4">
            <wp:extent cx="3266206" cy="3487303"/>
            <wp:effectExtent l="0" t="0" r="0" b="0"/>
            <wp:docPr id="40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6206" cy="3487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797A89" w14:paraId="0805E2EA" w14:textId="77777777">
      <w:pPr>
        <w:spacing w:line="360" w:lineRule="auto"/>
        <w:ind w:left="1440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797A89" w14:paraId="64DEEA52" w14:textId="77777777">
      <w:pPr>
        <w:spacing w:line="360" w:lineRule="auto"/>
        <w:ind w:left="1440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P="713111B9" w:rsidRDefault="00000000" w14:paraId="56D03849" w14:textId="77777777">
      <w:pPr>
        <w:pStyle w:val="Heading1"/>
        <w:rPr>
          <w:rFonts w:ascii="Times New Roman" w:hAnsi="Times New Roman" w:eastAsia="Times New Roman" w:cs="Times New Roman"/>
          <w:sz w:val="30"/>
          <w:szCs w:val="30"/>
          <w:highlight w:val="white"/>
        </w:rPr>
      </w:pPr>
      <w:bookmarkStart w:name="_Toc1700453540" w:id="1338547636"/>
      <w:r w:rsidRPr="4DE71B0E" w:rsidR="4DE71B0E">
        <w:rPr>
          <w:highlight w:val="white"/>
        </w:rPr>
        <w:t>Create two containers.</w:t>
      </w:r>
      <w:bookmarkEnd w:id="1338547636"/>
      <w:r w:rsidRPr="4DE71B0E" w:rsidR="4DE71B0E">
        <w:rPr>
          <w:highlight w:val="white"/>
        </w:rPr>
        <w:t xml:space="preserve"> </w:t>
      </w:r>
    </w:p>
    <w:p w:rsidR="00797A89" w:rsidRDefault="00000000" w14:paraId="0D0C22F6" w14:textId="77777777">
      <w:pPr>
        <w:numPr>
          <w:ilvl w:val="1"/>
          <w:numId w:val="2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 w:rsidRPr="713111B9" w:rsidR="713111B9">
        <w:rPr>
          <w:rFonts w:ascii="Cardo" w:hAnsi="Cardo" w:eastAsia="Cardo" w:cs="Cardo"/>
          <w:sz w:val="24"/>
          <w:szCs w:val="24"/>
          <w:highlight w:val="white"/>
        </w:rPr>
        <w:t xml:space="preserve">Navigate to Container → Containers → Create Container. </w:t>
      </w:r>
    </w:p>
    <w:p w:rsidR="00797A89" w:rsidRDefault="00000000" w14:paraId="25A5F410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047511F0" wp14:editId="1A3DC7A2">
            <wp:extent cx="2162175" cy="3276600"/>
            <wp:effectExtent l="0" t="0" r="0" b="0"/>
            <wp:docPr id="39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4F205919" wp14:editId="2706FB13">
            <wp:extent cx="3028950" cy="2114550"/>
            <wp:effectExtent l="0" t="0" r="0" b="0"/>
            <wp:docPr id="1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11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797A89" w14:paraId="6A90C23B" w14:textId="77777777">
      <w:pPr>
        <w:spacing w:line="360" w:lineRule="auto"/>
        <w:ind w:left="720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797A89" w14:paraId="4E784905" w14:textId="77777777">
      <w:pPr>
        <w:spacing w:line="360" w:lineRule="auto"/>
        <w:ind w:left="720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000000" w14:paraId="77961AC2" w14:textId="77777777">
      <w:pPr>
        <w:numPr>
          <w:ilvl w:val="0"/>
          <w:numId w:val="5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>For the first container, choose a name. It is recommended to use “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>eNBContainer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” for the name to avoid confusion. Use the docker image </w:t>
      </w:r>
      <w:proofErr w:type="spellStart"/>
      <w:r>
        <w:rPr>
          <w:rFonts w:ascii="Courier New" w:hAnsi="Courier New" w:eastAsia="Courier New" w:cs="Courier New"/>
          <w:color w:val="E74C3C"/>
          <w:sz w:val="24"/>
          <w:szCs w:val="24"/>
          <w:highlight w:val="white"/>
        </w:rPr>
        <w:t>arawirelesshub</w:t>
      </w:r>
      <w:proofErr w:type="spellEnd"/>
      <w:r>
        <w:rPr>
          <w:rFonts w:ascii="Courier New" w:hAnsi="Courier New" w:eastAsia="Courier New" w:cs="Courier New"/>
          <w:color w:val="E74C3C"/>
          <w:sz w:val="24"/>
          <w:szCs w:val="24"/>
          <w:highlight w:val="white"/>
        </w:rPr>
        <w:t>/</w:t>
      </w:r>
      <w:proofErr w:type="spellStart"/>
      <w:proofErr w:type="gramStart"/>
      <w:r>
        <w:rPr>
          <w:rFonts w:ascii="Courier New" w:hAnsi="Courier New" w:eastAsia="Courier New" w:cs="Courier New"/>
          <w:color w:val="E74C3C"/>
          <w:sz w:val="24"/>
          <w:szCs w:val="24"/>
          <w:highlight w:val="white"/>
        </w:rPr>
        <w:t>srsran:srsenb</w:t>
      </w:r>
      <w:proofErr w:type="spellEnd"/>
      <w:proofErr w:type="gramEnd"/>
    </w:p>
    <w:p w:rsidR="00797A89" w:rsidRDefault="00797A89" w14:paraId="548D6B6D" w14:textId="77777777">
      <w:pPr>
        <w:spacing w:line="360" w:lineRule="auto"/>
        <w:ind w:left="1440"/>
        <w:rPr>
          <w:rFonts w:ascii="Courier New" w:hAnsi="Courier New" w:eastAsia="Courier New" w:cs="Courier New"/>
          <w:color w:val="E74C3C"/>
          <w:sz w:val="24"/>
          <w:szCs w:val="24"/>
          <w:highlight w:val="white"/>
        </w:rPr>
      </w:pPr>
    </w:p>
    <w:p w:rsidR="00797A89" w:rsidRDefault="00000000" w14:paraId="505F249D" w14:textId="77777777">
      <w:pPr>
        <w:spacing w:line="360" w:lineRule="auto"/>
        <w:jc w:val="center"/>
        <w:rPr>
          <w:rFonts w:ascii="Courier New" w:hAnsi="Courier New" w:eastAsia="Courier New" w:cs="Courier New"/>
          <w:color w:val="E74C3C"/>
          <w:sz w:val="24"/>
          <w:szCs w:val="24"/>
          <w:highlight w:val="white"/>
        </w:rPr>
      </w:pPr>
      <w:r>
        <w:rPr>
          <w:rFonts w:ascii="Courier New" w:hAnsi="Courier New" w:eastAsia="Courier New" w:cs="Courier New"/>
          <w:noProof/>
          <w:color w:val="E74C3C"/>
          <w:sz w:val="24"/>
          <w:szCs w:val="24"/>
          <w:highlight w:val="white"/>
        </w:rPr>
        <w:drawing>
          <wp:inline distT="114300" distB="114300" distL="114300" distR="114300" wp14:anchorId="51DAC1BF" wp14:editId="50479EEB">
            <wp:extent cx="5576888" cy="2638110"/>
            <wp:effectExtent l="0" t="0" r="0" b="0"/>
            <wp:docPr id="49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6888" cy="2638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797A89" w14:paraId="6D0C8A14" w14:textId="77777777">
      <w:pPr>
        <w:spacing w:line="360" w:lineRule="auto"/>
        <w:ind w:left="1440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967745" w:rsidRDefault="00000000" w14:paraId="24C284D8" w14:textId="77777777">
      <w:pPr>
        <w:numPr>
          <w:ilvl w:val="0"/>
          <w:numId w:val="5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Fill in the Spec tab with the following specs. </w:t>
      </w:r>
    </w:p>
    <w:p w:rsidR="00967745" w:rsidP="00967745" w:rsidRDefault="00000000" w14:paraId="6F2FAF74" w14:textId="77777777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 w:rsidRPr="00967745">
        <w:rPr>
          <w:rFonts w:ascii="Times New Roman" w:hAnsi="Times New Roman" w:eastAsia="Times New Roman" w:cs="Times New Roman"/>
          <w:b/>
          <w:sz w:val="24"/>
          <w:szCs w:val="24"/>
          <w:highlight w:val="white"/>
          <w:u w:val="single"/>
        </w:rPr>
        <w:t>Hostname:</w:t>
      </w:r>
      <w:r w:rsidRPr="00967745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</w:t>
      </w:r>
      <w:proofErr w:type="spellStart"/>
      <w:r w:rsidRPr="00967745">
        <w:rPr>
          <w:rFonts w:ascii="Times New Roman" w:hAnsi="Times New Roman" w:eastAsia="Times New Roman" w:cs="Times New Roman"/>
          <w:sz w:val="24"/>
          <w:szCs w:val="24"/>
          <w:highlight w:val="white"/>
        </w:rPr>
        <w:t>eNB</w:t>
      </w:r>
      <w:proofErr w:type="spellEnd"/>
      <w:r w:rsidRPr="00967745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(recommended, but you can choose)</w:t>
      </w:r>
    </w:p>
    <w:p w:rsidR="00967745" w:rsidP="00967745" w:rsidRDefault="00000000" w14:paraId="069B6204" w14:textId="77777777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 w:rsidRPr="00967745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</w:t>
      </w:r>
      <w:r w:rsidRPr="00967745">
        <w:rPr>
          <w:rFonts w:ascii="Times New Roman" w:hAnsi="Times New Roman" w:eastAsia="Times New Roman" w:cs="Times New Roman"/>
          <w:b/>
          <w:sz w:val="24"/>
          <w:szCs w:val="24"/>
          <w:highlight w:val="white"/>
          <w:u w:val="single"/>
        </w:rPr>
        <w:t>CPU:</w:t>
      </w:r>
      <w:r w:rsidRPr="00967745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6 </w:t>
      </w:r>
    </w:p>
    <w:p w:rsidR="00967745" w:rsidP="00967745" w:rsidRDefault="00000000" w14:paraId="6E9B5F23" w14:textId="77777777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 w:rsidRPr="00967745">
        <w:rPr>
          <w:rFonts w:ascii="Times New Roman" w:hAnsi="Times New Roman" w:eastAsia="Times New Roman" w:cs="Times New Roman"/>
          <w:b/>
          <w:sz w:val="24"/>
          <w:szCs w:val="24"/>
          <w:highlight w:val="white"/>
          <w:u w:val="single"/>
        </w:rPr>
        <w:t xml:space="preserve">Memory: </w:t>
      </w:r>
      <w:r w:rsidRPr="00967745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8192 </w:t>
      </w:r>
    </w:p>
    <w:p w:rsidRPr="00967745" w:rsidR="00797A89" w:rsidP="00967745" w:rsidRDefault="00000000" w14:paraId="151A0273" w14:textId="120BED4D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 w:rsidRPr="00967745">
        <w:rPr>
          <w:rFonts w:ascii="Times New Roman" w:hAnsi="Times New Roman" w:eastAsia="Times New Roman" w:cs="Times New Roman"/>
          <w:b/>
          <w:sz w:val="24"/>
          <w:szCs w:val="24"/>
          <w:highlight w:val="white"/>
          <w:u w:val="single"/>
        </w:rPr>
        <w:t>Lease Name:</w:t>
      </w:r>
      <w:r w:rsidRPr="00967745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</w:t>
      </w:r>
      <w:proofErr w:type="spellStart"/>
      <w:r w:rsidRPr="00967745">
        <w:rPr>
          <w:rFonts w:ascii="Times New Roman" w:hAnsi="Times New Roman" w:eastAsia="Times New Roman" w:cs="Times New Roman"/>
          <w:sz w:val="24"/>
          <w:szCs w:val="24"/>
          <w:highlight w:val="white"/>
        </w:rPr>
        <w:t>eNBLease</w:t>
      </w:r>
      <w:proofErr w:type="spellEnd"/>
      <w:r w:rsidRPr="00967745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(or the name you chose for the first lease).</w:t>
      </w:r>
    </w:p>
    <w:p w:rsidR="00797A89" w:rsidRDefault="00000000" w14:paraId="21DCBFE2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66A871BD" wp14:editId="67204DBA">
            <wp:extent cx="5943600" cy="1689100"/>
            <wp:effectExtent l="0" t="0" r="0" b="0"/>
            <wp:docPr id="29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797A89" w14:paraId="2CBA0D3B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000000" w14:paraId="789A58E3" w14:textId="77777777">
      <w:pPr>
        <w:numPr>
          <w:ilvl w:val="0"/>
          <w:numId w:val="5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lastRenderedPageBreak/>
        <w:t xml:space="preserve">Click the up arrow for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>ARA_Shared_Net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in Networks tab, making sure that it moves to the Allocated section, then click create. </w:t>
      </w:r>
    </w:p>
    <w:p w:rsidR="00797A89" w:rsidRDefault="00797A89" w14:paraId="5450EF1B" w14:textId="77777777">
      <w:pPr>
        <w:spacing w:line="360" w:lineRule="auto"/>
        <w:ind w:left="1440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000000" w14:paraId="3FF1B55A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5D52D241" wp14:editId="4D58E0DA">
            <wp:extent cx="5943600" cy="2832100"/>
            <wp:effectExtent l="0" t="0" r="0" b="0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000000" w14:paraId="36C70FAB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65B6F1D8" wp14:editId="3668E5D4">
            <wp:extent cx="5943600" cy="2806700"/>
            <wp:effectExtent l="0" t="0" r="0" b="0"/>
            <wp:docPr id="2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797A89" w14:paraId="0DB0E206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000000" w14:paraId="55DBBDEB" w14:textId="77777777">
      <w:pPr>
        <w:numPr>
          <w:ilvl w:val="0"/>
          <w:numId w:val="5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If done correctly, a message saying successfully created will appear at the top right. It might take a few seconds for the container to get up and running while waiting create the second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>container</w:t>
      </w:r>
      <w:proofErr w:type="gramEnd"/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>.</w:t>
      </w:r>
    </w:p>
    <w:p w:rsidR="00797A89" w:rsidRDefault="00000000" w14:paraId="6A11D3FC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lastRenderedPageBreak/>
        <w:drawing>
          <wp:inline distT="114300" distB="114300" distL="114300" distR="114300" wp14:anchorId="7145C13E" wp14:editId="1C134F74">
            <wp:extent cx="3048000" cy="1885950"/>
            <wp:effectExtent l="0" t="0" r="0" b="0"/>
            <wp:docPr id="3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8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797A89" w14:paraId="48FE4ECD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000000" w14:paraId="5F21E9A9" w14:textId="77777777">
      <w:pPr>
        <w:numPr>
          <w:ilvl w:val="0"/>
          <w:numId w:val="5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>For the second container, it is recommended to use the name “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>UEContainer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” and use the image </w:t>
      </w:r>
      <w:proofErr w:type="spellStart"/>
      <w:r>
        <w:rPr>
          <w:rFonts w:ascii="Courier New" w:hAnsi="Courier New" w:eastAsia="Courier New" w:cs="Courier New"/>
          <w:color w:val="E74C3C"/>
          <w:sz w:val="24"/>
          <w:szCs w:val="24"/>
          <w:highlight w:val="white"/>
        </w:rPr>
        <w:t>arawirelesshub</w:t>
      </w:r>
      <w:proofErr w:type="spellEnd"/>
      <w:r>
        <w:rPr>
          <w:rFonts w:ascii="Courier New" w:hAnsi="Courier New" w:eastAsia="Courier New" w:cs="Courier New"/>
          <w:color w:val="E74C3C"/>
          <w:sz w:val="24"/>
          <w:szCs w:val="24"/>
          <w:highlight w:val="white"/>
        </w:rPr>
        <w:t>/</w:t>
      </w:r>
      <w:proofErr w:type="gramStart"/>
      <w:r>
        <w:rPr>
          <w:rFonts w:ascii="Courier New" w:hAnsi="Courier New" w:eastAsia="Courier New" w:cs="Courier New"/>
          <w:color w:val="E74C3C"/>
          <w:sz w:val="24"/>
          <w:szCs w:val="24"/>
          <w:highlight w:val="white"/>
        </w:rPr>
        <w:t>srsran:srsue</w:t>
      </w:r>
      <w:proofErr w:type="gramEnd"/>
      <w:r>
        <w:rPr>
          <w:rFonts w:ascii="Courier New" w:hAnsi="Courier New" w:eastAsia="Courier New" w:cs="Courier New"/>
          <w:color w:val="E74C3C"/>
          <w:sz w:val="24"/>
          <w:szCs w:val="24"/>
          <w:highlight w:val="white"/>
        </w:rPr>
        <w:t>_4g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. For the Spec tab, use all the same specs except </w:t>
      </w:r>
      <w:r>
        <w:rPr>
          <w:rFonts w:ascii="Times New Roman" w:hAnsi="Times New Roman" w:eastAsia="Times New Roman" w:cs="Times New Roman"/>
          <w:b/>
          <w:sz w:val="24"/>
          <w:szCs w:val="24"/>
          <w:highlight w:val="white"/>
          <w:u w:val="single"/>
        </w:rPr>
        <w:t>Hostname: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UE and </w:t>
      </w:r>
      <w:r>
        <w:rPr>
          <w:rFonts w:ascii="Times New Roman" w:hAnsi="Times New Roman" w:eastAsia="Times New Roman" w:cs="Times New Roman"/>
          <w:b/>
          <w:sz w:val="24"/>
          <w:szCs w:val="24"/>
          <w:highlight w:val="white"/>
          <w:u w:val="single"/>
        </w:rPr>
        <w:t>Lease Name: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>UELease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. </w:t>
      </w:r>
    </w:p>
    <w:p w:rsidR="00797A89" w:rsidRDefault="00000000" w14:paraId="330DD468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2BDBC638" wp14:editId="29502B36">
            <wp:extent cx="5943600" cy="2768600"/>
            <wp:effectExtent l="0" t="0" r="0" b="0"/>
            <wp:docPr id="2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000000" w14:paraId="349A75B8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lastRenderedPageBreak/>
        <w:drawing>
          <wp:inline distT="114300" distB="114300" distL="114300" distR="114300" wp14:anchorId="03967A6E" wp14:editId="3EE39033">
            <wp:extent cx="5943600" cy="1676400"/>
            <wp:effectExtent l="0" t="0" r="0" b="0"/>
            <wp:docPr id="1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3B1FBDE2" wp14:editId="4BC45A46">
            <wp:extent cx="5943600" cy="2806700"/>
            <wp:effectExtent l="0" t="0" r="0" b="0"/>
            <wp:docPr id="41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000000" w14:paraId="24A2E8D0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46C7FABC" wp14:editId="00EAC6D5">
            <wp:extent cx="3105150" cy="78105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797A89" w14:paraId="18CA4CA8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797A89" w14:paraId="23EB7B63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000000" w14:paraId="1BE93AD7" w14:textId="650E5CD4">
      <w:pPr>
        <w:numPr>
          <w:ilvl w:val="0"/>
          <w:numId w:val="5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Provide 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>screenshot</w:t>
      </w:r>
      <w:r w:rsidR="003907B3">
        <w:rPr>
          <w:rFonts w:ascii="Times New Roman" w:hAnsi="Times New Roman" w:eastAsia="Times New Roman" w:cs="Times New Roman"/>
          <w:sz w:val="24"/>
          <w:szCs w:val="24"/>
          <w:highlight w:val="white"/>
        </w:rPr>
        <w:t>s</w:t>
      </w:r>
      <w:proofErr w:type="gramEnd"/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of both of the successfully created containers’ overview tabs. Go to the container overview by clicking on the blue container name. </w:t>
      </w:r>
    </w:p>
    <w:p w:rsidR="00797A89" w:rsidRDefault="00000000" w14:paraId="5D831495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lastRenderedPageBreak/>
        <w:drawing>
          <wp:inline distT="114300" distB="114300" distL="114300" distR="114300" wp14:anchorId="49DA8643" wp14:editId="5F5D8A9C">
            <wp:extent cx="2290763" cy="2971102"/>
            <wp:effectExtent l="0" t="0" r="0" b="0"/>
            <wp:docPr id="2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0763" cy="29711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000000" w14:paraId="08B9871A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229B78E9" wp14:editId="417A4E3F">
            <wp:extent cx="3157538" cy="2528094"/>
            <wp:effectExtent l="0" t="0" r="0" b="0"/>
            <wp:docPr id="42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538" cy="2528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000000" w14:paraId="5080A44C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0C18AB4B" wp14:editId="29701F02">
            <wp:extent cx="4099442" cy="2363912"/>
            <wp:effectExtent l="0" t="0" r="0" b="0"/>
            <wp:docPr id="30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9442" cy="23639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797A89" w14:paraId="722BC5C2" w14:textId="77777777">
      <w:pPr>
        <w:spacing w:line="360" w:lineRule="auto"/>
        <w:ind w:left="720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P="713111B9" w:rsidRDefault="00000000" w14:paraId="144E8EA1" w14:textId="67E38002">
      <w:pPr>
        <w:pStyle w:val="Heading1"/>
        <w:rPr>
          <w:rFonts w:ascii="Times New Roman" w:hAnsi="Times New Roman" w:eastAsia="Times New Roman" w:cs="Times New Roman"/>
          <w:sz w:val="30"/>
          <w:szCs w:val="30"/>
          <w:highlight w:val="white"/>
        </w:rPr>
      </w:pPr>
      <w:bookmarkStart w:name="_Toc143753540" w:id="20909709"/>
      <w:r w:rsidRPr="4DE71B0E" w:rsidR="4DE71B0E">
        <w:rPr>
          <w:highlight w:val="white"/>
        </w:rPr>
        <w:t xml:space="preserve">Connect to containers using </w:t>
      </w:r>
      <w:proofErr w:type="spellStart"/>
      <w:r w:rsidRPr="4DE71B0E" w:rsidR="4DE71B0E">
        <w:rPr>
          <w:highlight w:val="white"/>
        </w:rPr>
        <w:t>jumpbox</w:t>
      </w:r>
      <w:proofErr w:type="spellEnd"/>
      <w:r w:rsidRPr="4DE71B0E" w:rsidR="4DE71B0E">
        <w:rPr>
          <w:highlight w:val="white"/>
        </w:rPr>
        <w:t>.</w:t>
      </w:r>
      <w:bookmarkEnd w:id="20909709"/>
    </w:p>
    <w:p w:rsidR="00797A89" w:rsidRDefault="00000000" w14:paraId="24C26060" w14:textId="77777777">
      <w:pPr>
        <w:numPr>
          <w:ilvl w:val="1"/>
          <w:numId w:val="2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Select the 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>eNBContainer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and go to the Console tab.</w:t>
      </w:r>
    </w:p>
    <w:p w:rsidR="00797A89" w:rsidRDefault="00000000" w14:paraId="4FF80AF5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4D62637F" wp14:editId="528FDBD2">
            <wp:extent cx="2533650" cy="3286125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286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000000" w14:paraId="79C928CD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73F0FB93" wp14:editId="7EF03301">
            <wp:extent cx="5424488" cy="3659790"/>
            <wp:effectExtent l="0" t="0" r="0" b="0"/>
            <wp:docPr id="46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4488" cy="3659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797A89" w14:paraId="352F2B79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000000" w14:paraId="6DA3831E" w14:textId="77777777">
      <w:pPr>
        <w:numPr>
          <w:ilvl w:val="1"/>
          <w:numId w:val="2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Run the command </w:t>
      </w:r>
      <w:r w:rsidRPr="713111B9" w:rsidR="713111B9">
        <w:rPr>
          <w:rFonts w:ascii="IBM Plex Mono" w:hAnsi="IBM Plex Mono" w:eastAsia="IBM Plex Mono" w:cs="IBM Plex Mono"/>
          <w:sz w:val="26"/>
          <w:szCs w:val="26"/>
          <w:highlight w:val="white"/>
        </w:rPr>
        <w:t xml:space="preserve">passwd 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>using a password you won’t forget “root” is recommended, then start the ssh service using the command</w:t>
      </w:r>
      <w:r w:rsidRPr="713111B9" w:rsidR="713111B9">
        <w:rPr>
          <w:rFonts w:ascii="Times New Roman" w:hAnsi="Times New Roman" w:eastAsia="Times New Roman" w:cs="Times New Roman"/>
          <w:sz w:val="26"/>
          <w:szCs w:val="26"/>
          <w:highlight w:val="white"/>
        </w:rPr>
        <w:t xml:space="preserve">                  </w:t>
      </w:r>
      <w:r w:rsidRPr="713111B9" w:rsidR="713111B9">
        <w:rPr>
          <w:rFonts w:ascii="IBM Plex Mono" w:hAnsi="IBM Plex Mono" w:eastAsia="IBM Plex Mono" w:cs="IBM Plex Mono"/>
          <w:sz w:val="26"/>
          <w:szCs w:val="26"/>
          <w:highlight w:val="white"/>
        </w:rPr>
        <w:t xml:space="preserve">service ssh </w:t>
      </w:r>
      <w:r w:rsidRPr="713111B9" w:rsidR="713111B9">
        <w:rPr>
          <w:rFonts w:ascii="IBM Plex Mono" w:hAnsi="IBM Plex Mono" w:eastAsia="IBM Plex Mono" w:cs="IBM Plex Mono"/>
          <w:sz w:val="26"/>
          <w:szCs w:val="26"/>
          <w:highlight w:val="white"/>
        </w:rPr>
        <w:t>start</w:t>
      </w:r>
      <w:r w:rsidRPr="713111B9" w:rsidR="713111B9">
        <w:rPr>
          <w:rFonts w:ascii="Times New Roman" w:hAnsi="Times New Roman" w:eastAsia="Times New Roman" w:cs="Times New Roman"/>
          <w:sz w:val="26"/>
          <w:szCs w:val="26"/>
          <w:highlight w:val="white"/>
        </w:rPr>
        <w:t xml:space="preserve"> .</w:t>
      </w:r>
      <w:r w:rsidRPr="713111B9" w:rsidR="713111B9">
        <w:rPr>
          <w:rFonts w:ascii="Times New Roman" w:hAnsi="Times New Roman" w:eastAsia="Times New Roman" w:cs="Times New Roman"/>
          <w:sz w:val="26"/>
          <w:szCs w:val="26"/>
          <w:highlight w:val="white"/>
        </w:rPr>
        <w:t xml:space="preserve"> </w:t>
      </w:r>
    </w:p>
    <w:p w:rsidR="00797A89" w:rsidRDefault="00000000" w14:paraId="34E9FEA6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6"/>
          <w:szCs w:val="26"/>
          <w:highlight w:val="white"/>
        </w:rPr>
      </w:pPr>
      <w:r>
        <w:rPr>
          <w:rFonts w:ascii="Times New Roman" w:hAnsi="Times New Roman" w:eastAsia="Times New Roman" w:cs="Times New Roman"/>
          <w:noProof/>
          <w:sz w:val="26"/>
          <w:szCs w:val="26"/>
          <w:highlight w:val="white"/>
        </w:rPr>
        <w:drawing>
          <wp:inline distT="114300" distB="114300" distL="114300" distR="114300" wp14:anchorId="5FE1B043" wp14:editId="7033E0C4">
            <wp:extent cx="5943600" cy="2400300"/>
            <wp:effectExtent l="0" t="0" r="0" b="0"/>
            <wp:docPr id="1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797A89" w14:paraId="0FDAFDC0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6"/>
          <w:szCs w:val="26"/>
          <w:highlight w:val="white"/>
        </w:rPr>
      </w:pPr>
    </w:p>
    <w:p w:rsidR="00797A89" w:rsidRDefault="00000000" w14:paraId="5F456140" w14:textId="77777777">
      <w:pPr>
        <w:numPr>
          <w:ilvl w:val="1"/>
          <w:numId w:val="2"/>
        </w:numPr>
        <w:spacing w:line="360" w:lineRule="auto"/>
        <w:rPr>
          <w:rFonts w:ascii="Times New Roman" w:hAnsi="Times New Roman" w:eastAsia="Times New Roman" w:cs="Times New Roman"/>
          <w:sz w:val="26"/>
          <w:szCs w:val="26"/>
          <w:highlight w:val="white"/>
        </w:rPr>
      </w:pP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Do this for the 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>UEContainer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as well.</w:t>
      </w:r>
      <w:r w:rsidRPr="713111B9" w:rsidR="713111B9">
        <w:rPr>
          <w:rFonts w:ascii="Times New Roman" w:hAnsi="Times New Roman" w:eastAsia="Times New Roman" w:cs="Times New Roman"/>
          <w:sz w:val="26"/>
          <w:szCs w:val="26"/>
          <w:highlight w:val="white"/>
        </w:rPr>
        <w:t xml:space="preserve"> </w:t>
      </w:r>
    </w:p>
    <w:p w:rsidR="00797A89" w:rsidRDefault="00000000" w14:paraId="03B0BE6D" w14:textId="77777777">
      <w:pPr>
        <w:spacing w:line="360" w:lineRule="auto"/>
        <w:rPr>
          <w:rFonts w:ascii="Times New Roman" w:hAnsi="Times New Roman" w:eastAsia="Times New Roman" w:cs="Times New Roman"/>
          <w:sz w:val="26"/>
          <w:szCs w:val="26"/>
          <w:highlight w:val="white"/>
        </w:rPr>
      </w:pPr>
      <w:r>
        <w:rPr>
          <w:rFonts w:ascii="Times New Roman" w:hAnsi="Times New Roman" w:eastAsia="Times New Roman" w:cs="Times New Roman"/>
          <w:noProof/>
          <w:sz w:val="26"/>
          <w:szCs w:val="26"/>
          <w:highlight w:val="white"/>
        </w:rPr>
        <w:drawing>
          <wp:inline distT="114300" distB="114300" distL="114300" distR="114300" wp14:anchorId="1142A4A9" wp14:editId="44B398C6">
            <wp:extent cx="5943600" cy="2400300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797A89" w14:paraId="2E861DD6" w14:textId="77777777">
      <w:pPr>
        <w:spacing w:line="360" w:lineRule="auto"/>
        <w:rPr>
          <w:rFonts w:ascii="Times New Roman" w:hAnsi="Times New Roman" w:eastAsia="Times New Roman" w:cs="Times New Roman"/>
          <w:sz w:val="26"/>
          <w:szCs w:val="26"/>
          <w:highlight w:val="white"/>
        </w:rPr>
      </w:pPr>
    </w:p>
    <w:p w:rsidR="00797A89" w:rsidRDefault="00000000" w14:paraId="6A336418" w14:textId="77777777">
      <w:pPr>
        <w:numPr>
          <w:ilvl w:val="1"/>
          <w:numId w:val="2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Open 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>a two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terminals or command prompt windows and ssh into ARA’s 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>jumpbox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</w:t>
      </w:r>
      <w:r w:rsidRPr="713111B9" w:rsidR="713111B9">
        <w:rPr>
          <w:rFonts w:ascii="IBM Plex Mono" w:hAnsi="IBM Plex Mono" w:eastAsia="IBM Plex Mono" w:cs="IBM Plex Mono"/>
          <w:sz w:val="26"/>
          <w:szCs w:val="26"/>
          <w:highlight w:val="white"/>
        </w:rPr>
        <w:t>username@jbox.arawireless.org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. Make sure that the RSA private key you used to sign up for ARA’s 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>jumpbox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is in the .ssh file on the machine you are using. </w:t>
      </w:r>
    </w:p>
    <w:p w:rsidR="00797A89" w:rsidRDefault="00000000" w14:paraId="5093E640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6"/>
          <w:szCs w:val="26"/>
          <w:highlight w:val="white"/>
        </w:rPr>
      </w:pPr>
      <w:r>
        <w:rPr>
          <w:rFonts w:ascii="Times New Roman" w:hAnsi="Times New Roman" w:eastAsia="Times New Roman" w:cs="Times New Roman"/>
          <w:noProof/>
          <w:sz w:val="26"/>
          <w:szCs w:val="26"/>
          <w:highlight w:val="white"/>
        </w:rPr>
        <w:lastRenderedPageBreak/>
        <w:drawing>
          <wp:inline distT="114300" distB="114300" distL="114300" distR="114300" wp14:anchorId="38F8B24E" wp14:editId="37DD3407">
            <wp:extent cx="3914775" cy="714375"/>
            <wp:effectExtent l="0" t="0" r="0" b="0"/>
            <wp:docPr id="43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000000" w14:paraId="54F516EA" w14:textId="77777777">
      <w:pPr>
        <w:numPr>
          <w:ilvl w:val="1"/>
          <w:numId w:val="2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Go back to overview of 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>eNBContainer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, under specs a floating IP address is listed. This is the Ip address you will use to ssh from ARA’s 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>jumpbox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to the container using username root and the password you chose. </w:t>
      </w:r>
    </w:p>
    <w:p w:rsidR="00797A89" w:rsidRDefault="00000000" w14:paraId="597CFDE7" w14:textId="77777777">
      <w:pPr>
        <w:spacing w:line="360" w:lineRule="auto"/>
        <w:ind w:left="1440"/>
        <w:jc w:val="center"/>
        <w:rPr>
          <w:rFonts w:ascii="Times New Roman" w:hAnsi="Times New Roman" w:eastAsia="Times New Roman" w:cs="Times New Roman"/>
          <w:sz w:val="26"/>
          <w:szCs w:val="26"/>
          <w:highlight w:val="white"/>
        </w:rPr>
      </w:pPr>
      <w:r>
        <w:rPr>
          <w:rFonts w:ascii="Times New Roman" w:hAnsi="Times New Roman" w:eastAsia="Times New Roman" w:cs="Times New Roman"/>
          <w:noProof/>
          <w:sz w:val="26"/>
          <w:szCs w:val="26"/>
          <w:highlight w:val="white"/>
        </w:rPr>
        <w:drawing>
          <wp:inline distT="114300" distB="114300" distL="114300" distR="114300" wp14:anchorId="3C21B447" wp14:editId="740DE96C">
            <wp:extent cx="3727809" cy="2275416"/>
            <wp:effectExtent l="0" t="0" r="0" b="0"/>
            <wp:docPr id="3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7809" cy="2275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797A89" w14:paraId="2B255A2A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000000" w14:paraId="5300CF87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54C0C813" wp14:editId="02C853DA">
            <wp:extent cx="5270266" cy="3409020"/>
            <wp:effectExtent l="0" t="0" r="0" b="0"/>
            <wp:docPr id="55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266" cy="3409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000000" w14:paraId="612658D0" w14:textId="53D31D0D">
      <w:pPr>
        <w:numPr>
          <w:ilvl w:val="1"/>
          <w:numId w:val="2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Open another two 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>terminals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for 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>UEContainer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as well. </w:t>
      </w:r>
    </w:p>
    <w:p w:rsidR="00797A89" w:rsidRDefault="00000000" w14:paraId="172A1D8C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lastRenderedPageBreak/>
        <w:drawing>
          <wp:inline distT="114300" distB="114300" distL="114300" distR="114300" wp14:anchorId="5A458898" wp14:editId="3896041E">
            <wp:extent cx="4162425" cy="2316122"/>
            <wp:effectExtent l="0" t="0" r="0" b="0"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3161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000000" w14:paraId="45BC529C" w14:textId="77777777">
      <w:pPr>
        <w:spacing w:line="360" w:lineRule="auto"/>
        <w:ind w:left="720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6E28B5A8" wp14:editId="2ACDE82A">
            <wp:extent cx="5173915" cy="3557588"/>
            <wp:effectExtent l="0" t="0" r="0" b="0"/>
            <wp:docPr id="3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3915" cy="3557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797A89" w14:paraId="64BA00D6" w14:textId="77777777">
      <w:pPr>
        <w:spacing w:line="360" w:lineRule="auto"/>
        <w:ind w:left="720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P="713111B9" w:rsidRDefault="00000000" w14:paraId="4EBF0D99" w14:textId="7D19B002">
      <w:pPr>
        <w:pStyle w:val="Heading1"/>
        <w:rPr>
          <w:rFonts w:ascii="Times New Roman" w:hAnsi="Times New Roman" w:eastAsia="Times New Roman" w:cs="Times New Roman"/>
          <w:sz w:val="30"/>
          <w:szCs w:val="30"/>
          <w:highlight w:val="white"/>
        </w:rPr>
      </w:pPr>
      <w:bookmarkStart w:name="_Toc2026629602" w:id="2121053967"/>
      <w:r w:rsidRPr="4DE71B0E" w:rsidR="4DE71B0E">
        <w:rPr>
          <w:highlight w:val="white"/>
        </w:rPr>
        <w:t xml:space="preserve">Starting the EPC and </w:t>
      </w:r>
      <w:proofErr w:type="spellStart"/>
      <w:r w:rsidRPr="4DE71B0E" w:rsidR="4DE71B0E">
        <w:rPr>
          <w:highlight w:val="white"/>
        </w:rPr>
        <w:t>eNB</w:t>
      </w:r>
      <w:proofErr w:type="spellEnd"/>
      <w:bookmarkEnd w:id="2121053967"/>
    </w:p>
    <w:p w:rsidR="00797A89" w:rsidRDefault="00000000" w14:paraId="12798A17" w14:textId="77777777">
      <w:pPr>
        <w:numPr>
          <w:ilvl w:val="1"/>
          <w:numId w:val="2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In on the 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>the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terminal for 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>eNBContainer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run the command </w:t>
      </w:r>
      <w:r w:rsidRPr="713111B9" w:rsidR="713111B9">
        <w:rPr>
          <w:rFonts w:ascii="IBM Plex Mono" w:hAnsi="IBM Plex Mono" w:eastAsia="IBM Plex Mono" w:cs="IBM Plex Mono"/>
          <w:sz w:val="26"/>
          <w:szCs w:val="26"/>
          <w:highlight w:val="white"/>
        </w:rPr>
        <w:t>srsepc</w:t>
      </w:r>
      <w:r w:rsidRPr="713111B9" w:rsidR="713111B9">
        <w:rPr>
          <w:rFonts w:ascii="IBM Plex Mono" w:hAnsi="IBM Plex Mono" w:eastAsia="IBM Plex Mono" w:cs="IBM Plex Mono"/>
          <w:sz w:val="26"/>
          <w:szCs w:val="26"/>
          <w:highlight w:val="white"/>
        </w:rPr>
        <w:t xml:space="preserve"> &amp;</w:t>
      </w:r>
      <w:r w:rsidRPr="713111B9" w:rsidR="713111B9">
        <w:rPr>
          <w:rFonts w:ascii="IBM Plex Mono" w:hAnsi="IBM Plex Mono" w:eastAsia="IBM Plex Mono" w:cs="IBM Plex Mono"/>
          <w:sz w:val="24"/>
          <w:szCs w:val="24"/>
          <w:highlight w:val="white"/>
        </w:rPr>
        <w:t xml:space="preserve"> 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to start the EPC in the background then run the command </w:t>
      </w:r>
      <w:r w:rsidRPr="713111B9" w:rsidR="713111B9">
        <w:rPr>
          <w:rFonts w:ascii="IBM Plex Mono" w:hAnsi="IBM Plex Mono" w:eastAsia="IBM Plex Mono" w:cs="IBM Plex Mono"/>
          <w:sz w:val="26"/>
          <w:szCs w:val="26"/>
          <w:highlight w:val="white"/>
        </w:rPr>
        <w:t>srsenb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. </w:t>
      </w:r>
    </w:p>
    <w:p w:rsidR="00797A89" w:rsidRDefault="00000000" w14:paraId="5BB35039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lastRenderedPageBreak/>
        <w:drawing>
          <wp:inline distT="114300" distB="114300" distL="114300" distR="114300" wp14:anchorId="38507018" wp14:editId="00E92496">
            <wp:extent cx="3938588" cy="2340081"/>
            <wp:effectExtent l="0" t="0" r="0" b="0"/>
            <wp:docPr id="48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8588" cy="23400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0B2D3622" wp14:editId="60826D33">
            <wp:extent cx="5943600" cy="5689600"/>
            <wp:effectExtent l="0" t="0" r="0" b="0"/>
            <wp:docPr id="47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8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P="713111B9" w:rsidRDefault="00000000" w14:paraId="09197992" w14:textId="77777777">
      <w:pPr>
        <w:pStyle w:val="Heading1"/>
        <w:rPr>
          <w:rFonts w:ascii="Times New Roman" w:hAnsi="Times New Roman" w:eastAsia="Times New Roman" w:cs="Times New Roman"/>
          <w:sz w:val="30"/>
          <w:szCs w:val="30"/>
          <w:highlight w:val="white"/>
        </w:rPr>
      </w:pPr>
      <w:bookmarkStart w:name="_Toc595496268" w:id="1985988694"/>
      <w:r w:rsidRPr="4DE71B0E" w:rsidR="4DE71B0E">
        <w:rPr>
          <w:highlight w:val="white"/>
        </w:rPr>
        <w:t>Starting the UE</w:t>
      </w:r>
      <w:bookmarkEnd w:id="1985988694"/>
    </w:p>
    <w:p w:rsidR="00797A89" w:rsidRDefault="00000000" w14:paraId="315987DE" w14:textId="77777777">
      <w:pPr>
        <w:numPr>
          <w:ilvl w:val="1"/>
          <w:numId w:val="2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In one of the terminals for 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>UEContainer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run the command </w:t>
      </w:r>
      <w:r w:rsidRPr="713111B9" w:rsidR="713111B9">
        <w:rPr>
          <w:rFonts w:ascii="IBM Plex Mono" w:hAnsi="IBM Plex Mono" w:eastAsia="IBM Plex Mono" w:cs="IBM Plex Mono"/>
          <w:sz w:val="26"/>
          <w:szCs w:val="26"/>
          <w:highlight w:val="white"/>
        </w:rPr>
        <w:t>srsue</w:t>
      </w:r>
    </w:p>
    <w:p w:rsidR="00797A89" w:rsidRDefault="00000000" w14:paraId="52BE2178" w14:textId="77777777">
      <w:pPr>
        <w:spacing w:line="360" w:lineRule="auto"/>
        <w:jc w:val="center"/>
        <w:rPr>
          <w:rFonts w:ascii="IBM Plex Mono" w:hAnsi="IBM Plex Mono" w:eastAsia="IBM Plex Mono" w:cs="IBM Plex Mono"/>
          <w:sz w:val="26"/>
          <w:szCs w:val="26"/>
          <w:highlight w:val="white"/>
        </w:rPr>
      </w:pPr>
      <w:r>
        <w:rPr>
          <w:rFonts w:ascii="IBM Plex Mono" w:hAnsi="IBM Plex Mono" w:eastAsia="IBM Plex Mono" w:cs="IBM Plex Mono"/>
          <w:noProof/>
          <w:sz w:val="26"/>
          <w:szCs w:val="26"/>
          <w:highlight w:val="white"/>
        </w:rPr>
        <w:drawing>
          <wp:inline distT="114300" distB="114300" distL="114300" distR="114300" wp14:anchorId="06A42160" wp14:editId="61A10197">
            <wp:extent cx="6397267" cy="4459633"/>
            <wp:effectExtent l="0" t="0" r="0" b="0"/>
            <wp:docPr id="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7267" cy="44596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797A89" w14:paraId="6316DFEB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000000" w14:paraId="7F9926B7" w14:textId="706E54AC">
      <w:pPr>
        <w:numPr>
          <w:ilvl w:val="1"/>
          <w:numId w:val="2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In the other terminal for 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>UEContainer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run the command </w:t>
      </w:r>
      <w:r w:rsidRPr="713111B9" w:rsidR="713111B9">
        <w:rPr>
          <w:rFonts w:ascii="IBM Plex Mono" w:hAnsi="IBM Plex Mono" w:eastAsia="IBM Plex Mono" w:cs="IBM Plex Mono"/>
          <w:sz w:val="26"/>
          <w:szCs w:val="26"/>
          <w:highlight w:val="white"/>
        </w:rPr>
        <w:t xml:space="preserve">ping 172.16.0.1 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>this will check that you are connected to the core. Provide a screenshot of your successful ping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in 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>your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lab report.</w:t>
      </w:r>
    </w:p>
    <w:p w:rsidR="00797A89" w:rsidRDefault="00000000" w14:paraId="316F2D59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78C6F404" wp14:editId="038C2874">
            <wp:extent cx="4362450" cy="1724025"/>
            <wp:effectExtent l="0" t="0" r="0" b="0"/>
            <wp:docPr id="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P="713111B9" w:rsidRDefault="00000000" w14:paraId="112B7458" w14:textId="77777777">
      <w:pPr>
        <w:pStyle w:val="Heading1"/>
        <w:rPr>
          <w:rFonts w:ascii="Times New Roman" w:hAnsi="Times New Roman" w:eastAsia="Times New Roman" w:cs="Times New Roman"/>
          <w:sz w:val="30"/>
          <w:szCs w:val="30"/>
          <w:highlight w:val="white"/>
        </w:rPr>
      </w:pPr>
      <w:bookmarkStart w:name="_Toc630210274" w:id="1315201851"/>
      <w:r w:rsidRPr="4DE71B0E" w:rsidR="4DE71B0E">
        <w:rPr>
          <w:highlight w:val="white"/>
        </w:rPr>
        <w:t>Running the throughput test</w:t>
      </w:r>
      <w:bookmarkEnd w:id="1315201851"/>
    </w:p>
    <w:p w:rsidR="00797A89" w:rsidRDefault="00000000" w14:paraId="4B1B129C" w14:textId="139B9C50">
      <w:pPr>
        <w:numPr>
          <w:ilvl w:val="1"/>
          <w:numId w:val="2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>In the terminal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>s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that are running 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>srsenb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and 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>srsue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type t and hit enter to start the console trace.</w:t>
      </w:r>
    </w:p>
    <w:p w:rsidR="00797A89" w:rsidRDefault="00000000" w14:paraId="68A5BED0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32F8AC4E" wp14:editId="08F6EEBA">
            <wp:extent cx="5984124" cy="4627318"/>
            <wp:effectExtent l="0" t="0" r="0" b="0"/>
            <wp:docPr id="54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4124" cy="46273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000000" w14:paraId="39963117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lastRenderedPageBreak/>
        <w:drawing>
          <wp:inline distT="114300" distB="114300" distL="114300" distR="114300" wp14:anchorId="04310681" wp14:editId="67D3276D">
            <wp:extent cx="5932412" cy="4062413"/>
            <wp:effectExtent l="0" t="0" r="0" b="0"/>
            <wp:docPr id="51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2412" cy="4062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797A89" w14:paraId="51E61F0A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000000" w14:paraId="04419AC1" w14:textId="77777777">
      <w:pPr>
        <w:numPr>
          <w:ilvl w:val="1"/>
          <w:numId w:val="2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In the unused terminal for 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>eNBContainer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run the command </w:t>
      </w:r>
      <w:r>
        <w:tab/>
      </w:r>
      <w:r>
        <w:tab/>
      </w:r>
      <w:r>
        <w:tab/>
      </w:r>
      <w:r w:rsidRPr="713111B9" w:rsidR="713111B9">
        <w:rPr>
          <w:rFonts w:ascii="IBM Plex Mono" w:hAnsi="IBM Plex Mono" w:eastAsia="IBM Plex Mono" w:cs="IBM Plex Mono"/>
          <w:sz w:val="26"/>
          <w:szCs w:val="26"/>
          <w:highlight w:val="white"/>
        </w:rPr>
        <w:t>iperf</w:t>
      </w:r>
      <w:r w:rsidRPr="713111B9" w:rsidR="713111B9">
        <w:rPr>
          <w:rFonts w:ascii="IBM Plex Mono" w:hAnsi="IBM Plex Mono" w:eastAsia="IBM Plex Mono" w:cs="IBM Plex Mono"/>
          <w:sz w:val="26"/>
          <w:szCs w:val="26"/>
          <w:highlight w:val="white"/>
        </w:rPr>
        <w:t xml:space="preserve"> -s -u -</w:t>
      </w:r>
      <w:r w:rsidRPr="713111B9" w:rsidR="713111B9">
        <w:rPr>
          <w:rFonts w:ascii="IBM Plex Mono" w:hAnsi="IBM Plex Mono" w:eastAsia="IBM Plex Mono" w:cs="IBM Plex Mono"/>
          <w:sz w:val="26"/>
          <w:szCs w:val="26"/>
          <w:highlight w:val="white"/>
        </w:rPr>
        <w:t>i</w:t>
      </w:r>
      <w:r w:rsidRPr="713111B9" w:rsidR="713111B9">
        <w:rPr>
          <w:rFonts w:ascii="IBM Plex Mono" w:hAnsi="IBM Plex Mono" w:eastAsia="IBM Plex Mono" w:cs="IBM Plex Mono"/>
          <w:sz w:val="26"/>
          <w:szCs w:val="26"/>
          <w:highlight w:val="white"/>
        </w:rPr>
        <w:t xml:space="preserve"> 1</w:t>
      </w:r>
    </w:p>
    <w:p w:rsidR="00797A89" w:rsidRDefault="00000000" w14:paraId="63DA829A" w14:textId="77777777">
      <w:pPr>
        <w:spacing w:line="360" w:lineRule="auto"/>
        <w:jc w:val="center"/>
        <w:rPr>
          <w:rFonts w:ascii="IBM Plex Mono" w:hAnsi="IBM Plex Mono" w:eastAsia="IBM Plex Mono" w:cs="IBM Plex Mono"/>
          <w:sz w:val="26"/>
          <w:szCs w:val="26"/>
          <w:highlight w:val="white"/>
        </w:rPr>
      </w:pPr>
      <w:r>
        <w:rPr>
          <w:rFonts w:ascii="IBM Plex Mono" w:hAnsi="IBM Plex Mono" w:eastAsia="IBM Plex Mono" w:cs="IBM Plex Mono"/>
          <w:noProof/>
          <w:sz w:val="26"/>
          <w:szCs w:val="26"/>
          <w:highlight w:val="white"/>
        </w:rPr>
        <w:drawing>
          <wp:inline distT="114300" distB="114300" distL="114300" distR="114300" wp14:anchorId="2A9C7304" wp14:editId="4EF521F1">
            <wp:extent cx="5511504" cy="1351069"/>
            <wp:effectExtent l="0" t="0" r="0" b="0"/>
            <wp:docPr id="44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1504" cy="1351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797A89" w14:paraId="50D13964" w14:textId="77777777">
      <w:pPr>
        <w:spacing w:line="360" w:lineRule="auto"/>
        <w:jc w:val="center"/>
        <w:rPr>
          <w:rFonts w:ascii="IBM Plex Mono" w:hAnsi="IBM Plex Mono" w:eastAsia="IBM Plex Mono" w:cs="IBM Plex Mono"/>
          <w:sz w:val="26"/>
          <w:szCs w:val="26"/>
          <w:highlight w:val="white"/>
        </w:rPr>
      </w:pPr>
    </w:p>
    <w:p w:rsidR="00797A89" w:rsidRDefault="00000000" w14:paraId="05939D4E" w14:textId="77777777">
      <w:pPr>
        <w:numPr>
          <w:ilvl w:val="1"/>
          <w:numId w:val="2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In the terminal for 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>UEContainer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used to run the ping command run the command </w:t>
      </w:r>
      <w:r w:rsidRPr="713111B9" w:rsidR="713111B9">
        <w:rPr>
          <w:rFonts w:ascii="IBM Plex Mono" w:hAnsi="IBM Plex Mono" w:eastAsia="IBM Plex Mono" w:cs="IBM Plex Mono"/>
          <w:sz w:val="26"/>
          <w:szCs w:val="26"/>
          <w:highlight w:val="white"/>
        </w:rPr>
        <w:t>iperf</w:t>
      </w:r>
      <w:r w:rsidRPr="713111B9" w:rsidR="713111B9">
        <w:rPr>
          <w:rFonts w:ascii="IBM Plex Mono" w:hAnsi="IBM Plex Mono" w:eastAsia="IBM Plex Mono" w:cs="IBM Plex Mono"/>
          <w:sz w:val="26"/>
          <w:szCs w:val="26"/>
          <w:highlight w:val="white"/>
        </w:rPr>
        <w:t xml:space="preserve"> -c 172.16.0.1 -u -</w:t>
      </w:r>
      <w:r w:rsidRPr="713111B9" w:rsidR="713111B9">
        <w:rPr>
          <w:rFonts w:ascii="IBM Plex Mono" w:hAnsi="IBM Plex Mono" w:eastAsia="IBM Plex Mono" w:cs="IBM Plex Mono"/>
          <w:sz w:val="26"/>
          <w:szCs w:val="26"/>
          <w:highlight w:val="white"/>
        </w:rPr>
        <w:t>i</w:t>
      </w:r>
      <w:r w:rsidRPr="713111B9" w:rsidR="713111B9">
        <w:rPr>
          <w:rFonts w:ascii="IBM Plex Mono" w:hAnsi="IBM Plex Mono" w:eastAsia="IBM Plex Mono" w:cs="IBM Plex Mono"/>
          <w:sz w:val="26"/>
          <w:szCs w:val="26"/>
          <w:highlight w:val="white"/>
        </w:rPr>
        <w:t xml:space="preserve"> 1 -b 25M -t 10 </w:t>
      </w:r>
    </w:p>
    <w:p w:rsidR="00797A89" w:rsidRDefault="00000000" w14:paraId="0B066300" w14:textId="77777777">
      <w:pPr>
        <w:spacing w:line="360" w:lineRule="auto"/>
        <w:jc w:val="center"/>
        <w:rPr>
          <w:rFonts w:ascii="IBM Plex Mono" w:hAnsi="IBM Plex Mono" w:eastAsia="IBM Plex Mono" w:cs="IBM Plex Mono"/>
          <w:sz w:val="26"/>
          <w:szCs w:val="26"/>
          <w:highlight w:val="white"/>
        </w:rPr>
      </w:pPr>
      <w:r>
        <w:rPr>
          <w:rFonts w:ascii="IBM Plex Mono" w:hAnsi="IBM Plex Mono" w:eastAsia="IBM Plex Mono" w:cs="IBM Plex Mono"/>
          <w:noProof/>
          <w:sz w:val="26"/>
          <w:szCs w:val="26"/>
          <w:highlight w:val="white"/>
        </w:rPr>
        <w:lastRenderedPageBreak/>
        <w:drawing>
          <wp:inline distT="114300" distB="114300" distL="114300" distR="114300" wp14:anchorId="2D23EAF3" wp14:editId="55F9424B">
            <wp:extent cx="5924550" cy="3248025"/>
            <wp:effectExtent l="0" t="0" r="0" b="0"/>
            <wp:docPr id="52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248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797A89" w14:paraId="0F10AA2E" w14:textId="77777777">
      <w:pPr>
        <w:spacing w:line="360" w:lineRule="auto"/>
        <w:jc w:val="center"/>
        <w:rPr>
          <w:rFonts w:ascii="IBM Plex Mono" w:hAnsi="IBM Plex Mono" w:eastAsia="IBM Plex Mono" w:cs="IBM Plex Mono"/>
          <w:sz w:val="26"/>
          <w:szCs w:val="26"/>
          <w:highlight w:val="white"/>
        </w:rPr>
      </w:pPr>
    </w:p>
    <w:p w:rsidR="00797A89" w:rsidRDefault="00000000" w14:paraId="0D5D5C83" w14:textId="77777777">
      <w:pPr>
        <w:numPr>
          <w:ilvl w:val="1"/>
          <w:numId w:val="2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>Provide a screenshot of both console traces in your lab report. Typing t and hitting enter will stop the console trace. Type t and hit enter again to start it again.</w:t>
      </w:r>
    </w:p>
    <w:p w:rsidR="00797A89" w:rsidRDefault="00000000" w14:paraId="51B2D119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5671252A" wp14:editId="4DABA801">
            <wp:extent cx="5943600" cy="2324100"/>
            <wp:effectExtent l="0" t="0" r="0" b="0"/>
            <wp:docPr id="1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000000" w14:paraId="540C9F2C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lastRenderedPageBreak/>
        <w:drawing>
          <wp:inline distT="114300" distB="114300" distL="114300" distR="114300" wp14:anchorId="4D590FD8" wp14:editId="6CC1B75E">
            <wp:extent cx="5943600" cy="2019300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797A89" w14:paraId="034334D4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000000" w14:paraId="444E5453" w14:textId="77777777">
      <w:pPr>
        <w:numPr>
          <w:ilvl w:val="1"/>
          <w:numId w:val="2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In the lab report, define the options for 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>iperf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used for the 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>UEContainer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and define the 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>brate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seen in both console traces.</w:t>
      </w:r>
    </w:p>
    <w:p w:rsidR="003907B3" w:rsidP="003907B3" w:rsidRDefault="00000000" w14:paraId="5FBB808F" w14:textId="15EEDBB8">
      <w:pPr>
        <w:numPr>
          <w:ilvl w:val="1"/>
          <w:numId w:val="2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Run the command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713111B9" w:rsidR="713111B9">
        <w:rPr>
          <w:rFonts w:ascii="IBM Plex Mono" w:hAnsi="IBM Plex Mono" w:eastAsia="IBM Plex Mono" w:cs="IBM Plex Mono"/>
          <w:sz w:val="26"/>
          <w:szCs w:val="26"/>
          <w:highlight w:val="white"/>
        </w:rPr>
        <w:t>iperf</w:t>
      </w:r>
      <w:r w:rsidRPr="713111B9" w:rsidR="713111B9">
        <w:rPr>
          <w:rFonts w:ascii="IBM Plex Mono" w:hAnsi="IBM Plex Mono" w:eastAsia="IBM Plex Mono" w:cs="IBM Plex Mono"/>
          <w:sz w:val="26"/>
          <w:szCs w:val="26"/>
          <w:highlight w:val="white"/>
        </w:rPr>
        <w:t xml:space="preserve"> -c 172.16.0.1 -u -</w:t>
      </w:r>
      <w:r w:rsidRPr="713111B9" w:rsidR="713111B9">
        <w:rPr>
          <w:rFonts w:ascii="IBM Plex Mono" w:hAnsi="IBM Plex Mono" w:eastAsia="IBM Plex Mono" w:cs="IBM Plex Mono"/>
          <w:sz w:val="26"/>
          <w:szCs w:val="26"/>
          <w:highlight w:val="white"/>
        </w:rPr>
        <w:t>i</w:t>
      </w:r>
      <w:r w:rsidRPr="713111B9" w:rsidR="713111B9">
        <w:rPr>
          <w:rFonts w:ascii="IBM Plex Mono" w:hAnsi="IBM Plex Mono" w:eastAsia="IBM Plex Mono" w:cs="IBM Plex Mono"/>
          <w:sz w:val="26"/>
          <w:szCs w:val="26"/>
          <w:highlight w:val="white"/>
        </w:rPr>
        <w:t xml:space="preserve"> 1 -b 25M -t 10 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but change the value for the -b flag to make a noticeable difference in the 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>brate</w:t>
      </w: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>. Provide a screenshot of the console traces and the value for -b that was used.</w:t>
      </w:r>
    </w:p>
    <w:p w:rsidR="003907B3" w:rsidP="003907B3" w:rsidRDefault="003907B3" w14:paraId="2012FDB4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Pr="003907B3" w:rsidR="003907B3" w:rsidP="713111B9" w:rsidRDefault="003907B3" w14:paraId="694331DB" w14:textId="71653AD1">
      <w:pPr>
        <w:pStyle w:val="Heading1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bookmarkStart w:name="_Toc993109410" w:id="368309954"/>
      <w:r w:rsidR="4DE71B0E">
        <w:rPr/>
        <w:t xml:space="preserve">(Optional) create new </w:t>
      </w:r>
      <w:r w:rsidR="4DE71B0E">
        <w:rPr/>
        <w:t>UE</w:t>
      </w:r>
      <w:bookmarkEnd w:id="368309954"/>
    </w:p>
    <w:p w:rsidR="003907B3" w:rsidP="003907B3" w:rsidRDefault="003907B3" w14:paraId="0BE868F7" w14:textId="77777777">
      <w:pPr>
        <w:pStyle w:val="NormalWeb"/>
        <w:numPr>
          <w:ilvl w:val="1"/>
          <w:numId w:val="2"/>
        </w:numPr>
        <w:spacing w:before="0" w:beforeAutospacing="0" w:after="0" w:afterAutospacing="0" w:line="360" w:lineRule="auto"/>
        <w:textAlignment w:val="baseline"/>
        <w:rPr>
          <w:color w:val="000000"/>
        </w:rPr>
      </w:pPr>
      <w:r>
        <w:rPr>
          <w:color w:val="000000"/>
          <w:shd w:val="clear" w:color="auto" w:fill="FFFFFF"/>
        </w:rPr>
        <w:t xml:space="preserve">To see the effects that the distance between the UE and </w:t>
      </w:r>
      <w:r>
        <w:rPr>
          <w:color w:val="000000"/>
          <w:shd w:val="clear" w:color="auto" w:fill="FFFFFF"/>
        </w:rPr>
        <w:t>eNB</w:t>
      </w:r>
      <w:r>
        <w:rPr>
          <w:color w:val="000000"/>
          <w:shd w:val="clear" w:color="auto" w:fill="FFFFFF"/>
        </w:rPr>
        <w:t xml:space="preserve"> can have on throughput, find another Sandbox-Host that is further or closer to the </w:t>
      </w:r>
      <w:r>
        <w:rPr>
          <w:color w:val="000000"/>
          <w:shd w:val="clear" w:color="auto" w:fill="FFFFFF"/>
        </w:rPr>
        <w:t>eNB</w:t>
      </w:r>
      <w:r>
        <w:rPr>
          <w:color w:val="000000"/>
          <w:shd w:val="clear" w:color="auto" w:fill="FFFFFF"/>
        </w:rPr>
        <w:t>. Delete the lease for the current UE, make a new one, and rerun the experiment.</w:t>
      </w:r>
    </w:p>
    <w:p w:rsidRPr="003907B3" w:rsidR="003907B3" w:rsidP="003907B3" w:rsidRDefault="003907B3" w14:paraId="0F6B9BEB" w14:textId="736E6E5D">
      <w:pPr>
        <w:numPr>
          <w:ilvl w:val="1"/>
          <w:numId w:val="2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color w:val="000000"/>
          <w:shd w:val="clear" w:color="auto" w:fill="FFFFFF"/>
        </w:rPr>
        <w:t xml:space="preserve">Describe the changes you observed in </w:t>
      </w:r>
      <w:r>
        <w:rPr>
          <w:color w:val="000000"/>
          <w:shd w:val="clear" w:color="auto" w:fill="FFFFFF"/>
        </w:rPr>
        <w:t>you</w:t>
      </w:r>
      <w:r>
        <w:rPr>
          <w:color w:val="000000"/>
          <w:shd w:val="clear" w:color="auto" w:fill="FFFFFF"/>
        </w:rPr>
        <w:t xml:space="preserve"> lab report.</w:t>
      </w:r>
    </w:p>
    <w:p w:rsidRPr="003907B3" w:rsidR="003907B3" w:rsidP="003907B3" w:rsidRDefault="003907B3" w14:paraId="17AC040A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P="713111B9" w:rsidRDefault="00000000" w14:paraId="55AB32B9" w14:textId="77777777">
      <w:pPr>
        <w:pStyle w:val="Heading1"/>
        <w:rPr>
          <w:rFonts w:ascii="Times New Roman" w:hAnsi="Times New Roman" w:eastAsia="Times New Roman" w:cs="Times New Roman"/>
          <w:sz w:val="30"/>
          <w:szCs w:val="30"/>
          <w:highlight w:val="white"/>
        </w:rPr>
      </w:pPr>
      <w:bookmarkStart w:name="_Toc1701641367" w:id="366706635"/>
      <w:r w:rsidRPr="4DE71B0E" w:rsidR="4DE71B0E">
        <w:rPr>
          <w:highlight w:val="white"/>
        </w:rPr>
        <w:t>Deleting Leases</w:t>
      </w:r>
      <w:bookmarkEnd w:id="366706635"/>
    </w:p>
    <w:p w:rsidR="00797A89" w:rsidRDefault="00000000" w14:paraId="23C5CC42" w14:textId="77777777">
      <w:pPr>
        <w:numPr>
          <w:ilvl w:val="1"/>
          <w:numId w:val="2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 w:rsidRPr="713111B9" w:rsidR="713111B9">
        <w:rPr>
          <w:rFonts w:ascii="Cardo" w:hAnsi="Cardo" w:eastAsia="Cardo" w:cs="Cardo"/>
          <w:sz w:val="24"/>
          <w:szCs w:val="24"/>
          <w:highlight w:val="white"/>
        </w:rPr>
        <w:t xml:space="preserve">Navigate to Reservations → Leases and use the box next to Lease name to select both leases, then click Delete Leases. </w:t>
      </w:r>
    </w:p>
    <w:p w:rsidR="00797A89" w:rsidRDefault="00000000" w14:paraId="7639CCC6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lastRenderedPageBreak/>
        <w:drawing>
          <wp:inline distT="114300" distB="114300" distL="114300" distR="114300" wp14:anchorId="5EA4928C" wp14:editId="6A96F95F">
            <wp:extent cx="1905000" cy="1767417"/>
            <wp:effectExtent l="0" t="0" r="0" b="0"/>
            <wp:docPr id="3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7674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3CE99CA9" wp14:editId="692BCF7E">
            <wp:extent cx="3095377" cy="1331229"/>
            <wp:effectExtent l="0" t="0" r="0" b="0"/>
            <wp:docPr id="50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377" cy="13312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797A89" w14:paraId="2271CF1A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797A89" w14:paraId="0322E600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797A89" w14:paraId="6CDE4166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797A89" w14:paraId="257FD720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797A89" w14:paraId="346CB4C7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797A89" w14:paraId="495FFB14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000000" w14:paraId="022FFE5E" w14:textId="77777777">
      <w:pPr>
        <w:numPr>
          <w:ilvl w:val="1"/>
          <w:numId w:val="2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 w:rsidRPr="713111B9" w:rsidR="713111B9">
        <w:rPr>
          <w:rFonts w:ascii="Times New Roman" w:hAnsi="Times New Roman" w:eastAsia="Times New Roman" w:cs="Times New Roman"/>
          <w:sz w:val="24"/>
          <w:szCs w:val="24"/>
          <w:highlight w:val="white"/>
        </w:rPr>
        <w:t>Provide a screenshot of the empty Leases page in your lab report.</w:t>
      </w:r>
    </w:p>
    <w:p w:rsidR="00797A89" w:rsidRDefault="00000000" w14:paraId="063E164C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50C3F548" wp14:editId="08A5A333">
            <wp:extent cx="2067552" cy="2014538"/>
            <wp:effectExtent l="0" t="0" r="0" b="0"/>
            <wp:docPr id="56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7552" cy="2014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7A89" w:rsidRDefault="00797A89" w14:paraId="16EA134B" w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797A89" w14:paraId="2CF2D8C3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:rsidR="00797A89" w:rsidRDefault="00000000" w14:paraId="7B728817" w14:textId="77777777">
      <w:pPr>
        <w:pStyle w:val="Title"/>
        <w:spacing w:line="360" w:lineRule="auto"/>
        <w:rPr>
          <w:rFonts w:ascii="Times New Roman" w:hAnsi="Times New Roman" w:eastAsia="Times New Roman" w:cs="Times New Roman"/>
        </w:rPr>
      </w:pPr>
      <w:bookmarkStart w:name="_fomqlhebxixf" w:colFirst="0" w:colLast="0" w:id="2"/>
      <w:bookmarkEnd w:id="2"/>
      <w:r>
        <w:rPr>
          <w:rFonts w:ascii="Times New Roman" w:hAnsi="Times New Roman" w:eastAsia="Times New Roman" w:cs="Times New Roman"/>
        </w:rPr>
        <w:t>Lab report template:</w:t>
      </w:r>
    </w:p>
    <w:p w:rsidR="00797A89" w:rsidRDefault="00797A89" w14:paraId="73DBDB57" w14:textId="77777777"/>
    <w:p w:rsidR="00797A89" w:rsidRDefault="00000000" w14:paraId="547AA04D" w14:textId="77777777">
      <w:pPr>
        <w:numPr>
          <w:ilvl w:val="0"/>
          <w:numId w:val="3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Lease details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screenshots</w:t>
      </w:r>
      <w:proofErr w:type="gramEnd"/>
    </w:p>
    <w:p w:rsidR="00797A89" w:rsidRDefault="00000000" w14:paraId="7F648203" w14:textId="77777777">
      <w:pPr>
        <w:numPr>
          <w:ilvl w:val="1"/>
          <w:numId w:val="3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eNBLease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:</w:t>
      </w:r>
    </w:p>
    <w:p w:rsidR="00797A89" w:rsidRDefault="00797A89" w14:paraId="4DDC9756" w14:textId="77777777">
      <w:pPr>
        <w:spacing w:line="360" w:lineRule="auto"/>
        <w:ind w:left="1440"/>
        <w:rPr>
          <w:rFonts w:ascii="Times New Roman" w:hAnsi="Times New Roman" w:eastAsia="Times New Roman" w:cs="Times New Roman"/>
          <w:sz w:val="24"/>
          <w:szCs w:val="24"/>
        </w:rPr>
      </w:pPr>
    </w:p>
    <w:p w:rsidR="00797A89" w:rsidRDefault="00797A89" w14:paraId="22A6ADF6" w14:textId="77777777">
      <w:pPr>
        <w:spacing w:line="360" w:lineRule="auto"/>
        <w:ind w:left="1440"/>
        <w:rPr>
          <w:rFonts w:ascii="Times New Roman" w:hAnsi="Times New Roman" w:eastAsia="Times New Roman" w:cs="Times New Roman"/>
          <w:sz w:val="24"/>
          <w:szCs w:val="24"/>
        </w:rPr>
      </w:pPr>
    </w:p>
    <w:p w:rsidR="00797A89" w:rsidRDefault="00797A89" w14:paraId="6F6C8989" w14:textId="77777777">
      <w:pPr>
        <w:spacing w:line="360" w:lineRule="auto"/>
        <w:ind w:left="1440"/>
        <w:rPr>
          <w:rFonts w:ascii="Times New Roman" w:hAnsi="Times New Roman" w:eastAsia="Times New Roman" w:cs="Times New Roman"/>
          <w:sz w:val="24"/>
          <w:szCs w:val="24"/>
        </w:rPr>
      </w:pPr>
    </w:p>
    <w:p w:rsidR="00797A89" w:rsidRDefault="00000000" w14:paraId="31E53E70" w14:textId="77777777">
      <w:pPr>
        <w:numPr>
          <w:ilvl w:val="1"/>
          <w:numId w:val="3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UELease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:</w:t>
      </w:r>
    </w:p>
    <w:p w:rsidR="00797A89" w:rsidRDefault="00797A89" w14:paraId="4299174B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797A89" w:rsidRDefault="00797A89" w14:paraId="061F7277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797A89" w:rsidRDefault="00797A89" w14:paraId="7F76E704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797A89" w:rsidRDefault="00000000" w14:paraId="0F896F9B" w14:textId="77777777">
      <w:pPr>
        <w:numPr>
          <w:ilvl w:val="0"/>
          <w:numId w:val="3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Container overview screenshots</w:t>
      </w:r>
    </w:p>
    <w:p w:rsidR="00797A89" w:rsidRDefault="00000000" w14:paraId="268B3732" w14:textId="77777777">
      <w:pPr>
        <w:numPr>
          <w:ilvl w:val="1"/>
          <w:numId w:val="3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eNBContainer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:</w:t>
      </w:r>
    </w:p>
    <w:p w:rsidR="00797A89" w:rsidRDefault="00797A89" w14:paraId="45D1413F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797A89" w:rsidRDefault="00797A89" w14:paraId="07C0DDB0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797A89" w:rsidRDefault="00797A89" w14:paraId="0D056D93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797A89" w:rsidRDefault="00000000" w14:paraId="24496291" w14:textId="77777777">
      <w:pPr>
        <w:numPr>
          <w:ilvl w:val="1"/>
          <w:numId w:val="3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UEContainer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:</w:t>
      </w:r>
    </w:p>
    <w:p w:rsidR="00797A89" w:rsidRDefault="00797A89" w14:paraId="2E571710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797A89" w:rsidRDefault="00797A89" w14:paraId="5E1C981A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797A89" w:rsidRDefault="00797A89" w14:paraId="0A040EBE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797A89" w:rsidRDefault="00000000" w14:paraId="58B634B6" w14:textId="77777777">
      <w:pPr>
        <w:numPr>
          <w:ilvl w:val="0"/>
          <w:numId w:val="3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Screenshot of ping 172.16.0.1 results</w:t>
      </w:r>
    </w:p>
    <w:p w:rsidR="00797A89" w:rsidRDefault="00797A89" w14:paraId="611111F7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797A89" w:rsidRDefault="00797A89" w14:paraId="66EB277D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797A89" w:rsidRDefault="00797A89" w14:paraId="6656E2CA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797A89" w:rsidRDefault="00000000" w14:paraId="2E474D4E" w14:textId="77777777">
      <w:pPr>
        <w:numPr>
          <w:ilvl w:val="0"/>
          <w:numId w:val="3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Console trace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screenshots</w:t>
      </w:r>
      <w:proofErr w:type="gramEnd"/>
    </w:p>
    <w:p w:rsidR="00797A89" w:rsidRDefault="00000000" w14:paraId="006D6EB9" w14:textId="77777777">
      <w:pPr>
        <w:numPr>
          <w:ilvl w:val="1"/>
          <w:numId w:val="3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eNBContainer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:</w:t>
      </w:r>
    </w:p>
    <w:p w:rsidR="00797A89" w:rsidRDefault="00797A89" w14:paraId="013D6A54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797A89" w:rsidRDefault="00797A89" w14:paraId="2C24D80F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797A89" w:rsidRDefault="00797A89" w14:paraId="1C8177A0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797A89" w:rsidRDefault="00000000" w14:paraId="2DD6FAD9" w14:textId="77777777">
      <w:pPr>
        <w:numPr>
          <w:ilvl w:val="1"/>
          <w:numId w:val="3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UEContainer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:</w:t>
      </w:r>
    </w:p>
    <w:p w:rsidR="00797A89" w:rsidRDefault="00797A89" w14:paraId="2B621E21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797A89" w:rsidRDefault="00797A89" w14:paraId="6E2A9829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797A89" w:rsidRDefault="00797A89" w14:paraId="731C5FFB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797A89" w:rsidRDefault="00000000" w14:paraId="229B04D0" w14:textId="77777777">
      <w:pPr>
        <w:numPr>
          <w:ilvl w:val="0"/>
          <w:numId w:val="3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Define the options used by the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UEContainer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iperf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command. The </w:t>
      </w:r>
      <w:hyperlink r:id="rId64">
        <w:proofErr w:type="spellStart"/>
        <w:r>
          <w:rPr>
            <w:rFonts w:ascii="Times New Roman" w:hAnsi="Times New Roman" w:eastAsia="Times New Roman" w:cs="Times New Roman"/>
            <w:color w:val="1155CC"/>
            <w:sz w:val="24"/>
            <w:szCs w:val="24"/>
            <w:u w:val="single"/>
          </w:rPr>
          <w:t>iperf</w:t>
        </w:r>
        <w:proofErr w:type="spellEnd"/>
        <w:r>
          <w:rPr>
            <w:rFonts w:ascii="Times New Roman" w:hAnsi="Times New Roman" w:eastAsia="Times New Roman" w:cs="Times New Roman"/>
            <w:color w:val="1155CC"/>
            <w:sz w:val="24"/>
            <w:szCs w:val="24"/>
            <w:u w:val="single"/>
          </w:rPr>
          <w:t xml:space="preserve"> man page</w:t>
        </w:r>
      </w:hyperlink>
      <w:r>
        <w:rPr>
          <w:rFonts w:ascii="Times New Roman" w:hAnsi="Times New Roman" w:eastAsia="Times New Roman" w:cs="Times New Roman"/>
          <w:sz w:val="24"/>
          <w:szCs w:val="24"/>
        </w:rPr>
        <w:t xml:space="preserve"> can be used.</w:t>
      </w:r>
    </w:p>
    <w:p w:rsidR="003907B3" w:rsidP="003907B3" w:rsidRDefault="003907B3" w14:paraId="58636E63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3907B3" w:rsidR="00797A89" w:rsidP="003907B3" w:rsidRDefault="003907B3" w14:paraId="3014774E" w14:textId="674CC965">
      <w:pPr>
        <w:numPr>
          <w:ilvl w:val="0"/>
          <w:numId w:val="3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Define the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brate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metric given by the console trace.</w:t>
      </w:r>
    </w:p>
    <w:p w:rsidR="00797A89" w:rsidRDefault="00797A89" w14:paraId="1C31B9B7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797A89" w:rsidRDefault="00797A89" w14:paraId="3AAE54CF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797A89" w:rsidRDefault="00000000" w14:paraId="4CF84CEF" w14:textId="77777777">
      <w:pPr>
        <w:numPr>
          <w:ilvl w:val="0"/>
          <w:numId w:val="3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Console trace screenshots with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different -b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value </w:t>
      </w:r>
    </w:p>
    <w:p w:rsidR="003907B3" w:rsidP="003907B3" w:rsidRDefault="003907B3" w14:paraId="33FA5804" w14:textId="7F3F6892">
      <w:pPr>
        <w:numPr>
          <w:ilvl w:val="1"/>
          <w:numId w:val="3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New -b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vlaue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:</w:t>
      </w:r>
    </w:p>
    <w:p w:rsidR="003907B3" w:rsidP="003907B3" w:rsidRDefault="003907B3" w14:paraId="72571CAF" w14:textId="77777777">
      <w:pPr>
        <w:spacing w:line="360" w:lineRule="auto"/>
        <w:ind w:left="1440"/>
        <w:rPr>
          <w:rFonts w:ascii="Times New Roman" w:hAnsi="Times New Roman" w:eastAsia="Times New Roman" w:cs="Times New Roman"/>
          <w:sz w:val="24"/>
          <w:szCs w:val="24"/>
        </w:rPr>
      </w:pPr>
    </w:p>
    <w:p w:rsidR="00797A89" w:rsidRDefault="00000000" w14:paraId="6CAC4E74" w14:textId="77777777">
      <w:pPr>
        <w:numPr>
          <w:ilvl w:val="1"/>
          <w:numId w:val="3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eNBContainer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:</w:t>
      </w:r>
    </w:p>
    <w:p w:rsidR="00797A89" w:rsidRDefault="00797A89" w14:paraId="294AABFB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797A89" w:rsidRDefault="00797A89" w14:paraId="30B48F21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797A89" w:rsidRDefault="00797A89" w14:paraId="19E3C1C1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797A89" w:rsidRDefault="00000000" w14:paraId="518CB7A5" w14:textId="77777777">
      <w:pPr>
        <w:numPr>
          <w:ilvl w:val="1"/>
          <w:numId w:val="3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UEContainer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:</w:t>
      </w:r>
    </w:p>
    <w:p w:rsidR="00797A89" w:rsidRDefault="00797A89" w14:paraId="1E6E0711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797A89" w:rsidRDefault="00797A89" w14:paraId="7E11CDA5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797A89" w:rsidRDefault="00797A89" w14:paraId="0C0B352C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797A89" w:rsidRDefault="00000000" w14:paraId="250380C6" w14:textId="77777777">
      <w:pPr>
        <w:numPr>
          <w:ilvl w:val="0"/>
          <w:numId w:val="3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Empty lease page screenshot</w:t>
      </w:r>
    </w:p>
    <w:p w:rsidR="003907B3" w:rsidP="003907B3" w:rsidRDefault="003907B3" w14:paraId="02EE6B25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3907B3" w:rsidP="003907B3" w:rsidRDefault="003907B3" w14:paraId="4C413D0A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3907B3" w:rsidP="003907B3" w:rsidRDefault="003907B3" w14:paraId="1B2F4041" w14:textId="77777777">
      <w:p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3907B3" w:rsidRDefault="003907B3" w14:paraId="40306DA5" w14:textId="52496D8F">
      <w:pPr>
        <w:numPr>
          <w:ilvl w:val="0"/>
          <w:numId w:val="3"/>
        </w:numPr>
        <w:spacing w:line="36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(Optional) describe the effect distance has on throughput in a 4G network.</w:t>
      </w:r>
    </w:p>
    <w:sectPr w:rsidR="003907B3">
      <w:pgSz w:w="12240" w:h="15840" w:orient="portrait"/>
      <w:pgMar w:top="1440" w:right="1440" w:bottom="1440" w:left="1440" w:header="720" w:footer="720" w:gutter="0"/>
      <w:pgNumType w:start="1"/>
      <w:cols w:space="720"/>
      <w:headerReference w:type="default" r:id="Rd89f94aef5cb4427"/>
      <w:footerReference w:type="default" r:id="Rd323c2b2425d44ca"/>
      <w:titlePg w:val="1"/>
      <w:headerReference w:type="first" r:id="Rd40c11a929d34fc8"/>
      <w:footerReference w:type="first" r:id="Rb00031dc7a6a480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do">
    <w:altName w:val="Calibri"/>
    <w:charset w:val="00"/>
    <w:family w:val="auto"/>
    <w:pitch w:val="default"/>
  </w:font>
  <w:font w:name="IBM Plex Mono">
    <w:charset w:val="00"/>
    <w:family w:val="modern"/>
    <w:pitch w:val="fixed"/>
    <w:sig w:usb0="A000026F" w:usb1="5000207B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6940724" w:rsidTr="26940724" w14:paraId="615D5226">
      <w:trPr>
        <w:trHeight w:val="300"/>
      </w:trPr>
      <w:tc>
        <w:tcPr>
          <w:tcW w:w="3120" w:type="dxa"/>
          <w:tcMar/>
        </w:tcPr>
        <w:p w:rsidR="26940724" w:rsidP="26940724" w:rsidRDefault="26940724" w14:paraId="353BCDAE" w14:textId="20878EEA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26940724" w:rsidP="26940724" w:rsidRDefault="26940724" w14:paraId="18A9B930" w14:textId="536676C8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26940724" w:rsidP="26940724" w:rsidRDefault="26940724" w14:paraId="0EA4D3E1" w14:textId="2BC67A10">
          <w:pPr>
            <w:pStyle w:val="Header"/>
            <w:bidi w:val="0"/>
            <w:ind w:right="-115"/>
            <w:jc w:val="right"/>
          </w:pPr>
        </w:p>
      </w:tc>
    </w:tr>
  </w:tbl>
  <w:p w:rsidR="26940724" w:rsidP="26940724" w:rsidRDefault="26940724" w14:paraId="533AA739" w14:textId="308ECF10">
    <w:pPr>
      <w:pStyle w:val="Footer"/>
      <w:bidi w:val="0"/>
    </w:pP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2A2E284" w:rsidTr="12A2E284" w14:paraId="21F2F574">
      <w:trPr>
        <w:trHeight w:val="300"/>
      </w:trPr>
      <w:tc>
        <w:tcPr>
          <w:tcW w:w="3120" w:type="dxa"/>
          <w:tcMar/>
        </w:tcPr>
        <w:p w:rsidR="12A2E284" w:rsidP="12A2E284" w:rsidRDefault="12A2E284" w14:paraId="6822B206" w14:textId="134A3AB6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12A2E284" w:rsidP="12A2E284" w:rsidRDefault="12A2E284" w14:paraId="450AF2B7" w14:textId="2E5AF5CD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12A2E284" w:rsidP="12A2E284" w:rsidRDefault="12A2E284" w14:paraId="0DB25AD1" w14:textId="3E82A6F1">
          <w:pPr>
            <w:pStyle w:val="Header"/>
            <w:bidi w:val="0"/>
            <w:ind w:right="-115"/>
            <w:jc w:val="right"/>
          </w:pPr>
        </w:p>
      </w:tc>
    </w:tr>
  </w:tbl>
  <w:p w:rsidR="12A2E284" w:rsidP="12A2E284" w:rsidRDefault="12A2E284" w14:paraId="31D4726E" w14:textId="10E62383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9483" w:type="dxa"/>
      <w:tblLayout w:type="fixed"/>
      <w:tblLook w:val="06A0" w:firstRow="1" w:lastRow="0" w:firstColumn="1" w:lastColumn="0" w:noHBand="1" w:noVBand="1"/>
    </w:tblPr>
    <w:tblGrid>
      <w:gridCol w:w="2520"/>
      <w:gridCol w:w="1355"/>
      <w:gridCol w:w="2460"/>
      <w:gridCol w:w="3148"/>
    </w:tblGrid>
    <w:tr w:rsidR="26940724" w:rsidTr="12A2E284" w14:paraId="6D14BE4A">
      <w:trPr>
        <w:trHeight w:val="300"/>
      </w:trPr>
      <w:tc>
        <w:tcPr>
          <w:tcW w:w="2520" w:type="dxa"/>
          <w:tcMar/>
        </w:tcPr>
        <w:p w:rsidR="26940724" w:rsidP="26940724" w:rsidRDefault="26940724" w14:noSpellErr="1" w14:paraId="50E8ED9A" w14:textId="4BEF9F6C">
          <w:pPr>
            <w:pStyle w:val="Header"/>
            <w:ind w:left="-115"/>
            <w:jc w:val="left"/>
          </w:pPr>
          <w:r>
            <w:drawing>
              <wp:inline wp14:editId="127024FE" wp14:anchorId="43C859D2">
                <wp:extent cx="696686" cy="438797"/>
                <wp:effectExtent l="0" t="0" r="0" b="0"/>
                <wp:docPr id="607054546" name="image7.png" title=""/>
                <wp:cNvGraphicFramePr>
                  <a:graphicFrameLocks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/>
                      </pic:nvPicPr>
                      <pic:blipFill>
                        <a:blip r:embed="R5aaa877e6c9b4a1f">
                          <a:extLst>
                            <a:ext xmlns:a="http://schemas.openxmlformats.org/drawingml/2006/main" uri="{28A0092B-C50C-407E-A947-70E740481C1C}">
                              <a14:useLocalDpi val="0"/>
                            </a:ext>
                          </a:extLst>
                        </a:blip>
                        <a:srcRect l="0" t="0" r="0" b="0"/>
                        <a:stretch>
                          <a:fillRect/>
                        </a:stretch>
                      </pic:blipFill>
                      <pic:spPr xmlns:pic="http://schemas.openxmlformats.org/drawingml/2006/picture">
                        <a:xfrm xmlns:a="http://schemas.openxmlformats.org/drawingml/2006/main" rot="0" flipH="0" flipV="0">
                          <a:off xmlns:a="http://schemas.openxmlformats.org/drawingml/2006/main" x="0" y="0"/>
                          <a:ext xmlns:a="http://schemas.openxmlformats.org/drawingml/2006/main" cx="696686" cy="438797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  <a:ln xmlns:a="http://schemas.openxmlformats.org/drawingml/2006/main"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55" w:type="dxa"/>
          <w:tcMar/>
        </w:tcPr>
        <w:p w:rsidR="12A2E284" w:rsidP="12A2E284" w:rsidRDefault="12A2E284" w14:paraId="7E558194" w14:textId="55A92257">
          <w:pPr>
            <w:pStyle w:val="Header"/>
            <w:bidi w:val="0"/>
            <w:jc w:val="left"/>
          </w:pPr>
        </w:p>
      </w:tc>
      <w:tc>
        <w:tcPr>
          <w:tcW w:w="2460" w:type="dxa"/>
          <w:tcMar/>
        </w:tcPr>
        <w:p w:rsidR="12A2E284" w:rsidP="12A2E284" w:rsidRDefault="12A2E284" w14:paraId="4B2EAD00" w14:textId="001B90AC">
          <w:pPr>
            <w:pStyle w:val="Header"/>
            <w:bidi w:val="0"/>
            <w:jc w:val="left"/>
          </w:pPr>
        </w:p>
      </w:tc>
      <w:tc>
        <w:tcPr>
          <w:tcW w:w="3148" w:type="dxa"/>
          <w:tcMar/>
        </w:tcPr>
        <w:p w:rsidR="26940724" w:rsidP="26940724" w:rsidRDefault="26940724" w14:paraId="64EF81EB" w14:textId="0532178C">
          <w:pPr>
            <w:pStyle w:val="Header"/>
            <w:bidi w:val="0"/>
            <w:ind w:right="-115"/>
            <w:jc w:val="right"/>
            <w:rPr>
              <w:rFonts w:ascii="Times New Roman" w:hAnsi="Times New Roman" w:eastAsia="Times New Roman" w:cs="Times New Roman"/>
            </w:rPr>
          </w:pPr>
          <w:r w:rsidRPr="26940724" w:rsidR="26940724">
            <w:rPr>
              <w:rFonts w:ascii="Times New Roman" w:hAnsi="Times New Roman" w:eastAsia="Times New Roman" w:cs="Times New Roman"/>
            </w:rPr>
            <w:t>Iowa State University</w:t>
          </w:r>
        </w:p>
        <w:p w:rsidR="26940724" w:rsidP="26940724" w:rsidRDefault="26940724" w14:paraId="74A13A34" w14:textId="4A95E1CF">
          <w:pPr>
            <w:pStyle w:val="Header"/>
            <w:bidi w:val="0"/>
            <w:ind w:right="-115"/>
            <w:jc w:val="right"/>
            <w:rPr>
              <w:rFonts w:ascii="Times New Roman" w:hAnsi="Times New Roman" w:eastAsia="Times New Roman" w:cs="Times New Roman"/>
            </w:rPr>
          </w:pPr>
          <w:r w:rsidRPr="26940724" w:rsidR="26940724">
            <w:rPr>
              <w:rFonts w:ascii="Times New Roman" w:hAnsi="Times New Roman" w:eastAsia="Times New Roman" w:cs="Times New Roman"/>
            </w:rPr>
            <w:t>2024</w:t>
          </w:r>
        </w:p>
      </w:tc>
    </w:tr>
  </w:tbl>
  <w:p w:rsidR="26940724" w:rsidP="26940724" w:rsidRDefault="26940724" w14:paraId="3FEE48C1" w14:textId="714F2AEA">
    <w:pPr>
      <w:pStyle w:val="Header"/>
      <w:bidi w:val="0"/>
    </w:pP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2A2E284" w:rsidTr="12A2E284" w14:paraId="63C5D9B7">
      <w:trPr>
        <w:trHeight w:val="300"/>
      </w:trPr>
      <w:tc>
        <w:tcPr>
          <w:tcW w:w="3120" w:type="dxa"/>
          <w:tcMar/>
        </w:tcPr>
        <w:p w:rsidR="12A2E284" w:rsidP="12A2E284" w:rsidRDefault="12A2E284" w14:paraId="16063379" w14:textId="3EF5E696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12A2E284" w:rsidP="12A2E284" w:rsidRDefault="12A2E284" w14:paraId="12CD466F" w14:textId="055C571A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12A2E284" w:rsidP="12A2E284" w:rsidRDefault="12A2E284" w14:paraId="3AA7773E" w14:textId="2B335963">
          <w:pPr>
            <w:pStyle w:val="Header"/>
            <w:bidi w:val="0"/>
            <w:ind w:right="-115"/>
            <w:jc w:val="right"/>
          </w:pPr>
        </w:p>
      </w:tc>
    </w:tr>
  </w:tbl>
  <w:p w:rsidR="12A2E284" w:rsidP="12A2E284" w:rsidRDefault="12A2E284" w14:paraId="5F03BFFC" w14:textId="5176850F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244E23"/>
    <w:multiLevelType w:val="multilevel"/>
    <w:tmpl w:val="D97E4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4418EE"/>
    <w:multiLevelType w:val="multilevel"/>
    <w:tmpl w:val="1C26541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A427D36"/>
    <w:multiLevelType w:val="multilevel"/>
    <w:tmpl w:val="8F52ACB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D653039"/>
    <w:multiLevelType w:val="hybridMultilevel"/>
    <w:tmpl w:val="491E9C26"/>
    <w:lvl w:ilvl="0" w:tplc="0409000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4" w15:restartNumberingAfterBreak="0">
    <w:nsid w:val="36D43025"/>
    <w:multiLevelType w:val="multilevel"/>
    <w:tmpl w:val="520AA79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A3B05B4"/>
    <w:multiLevelType w:val="multilevel"/>
    <w:tmpl w:val="60E8403C"/>
    <w:lvl w:ilvl="0">
      <w:start w:val="1"/>
      <w:numFmt w:val="decimal"/>
      <w:pStyle w:val="Heading1"/>
      <w:lvlText w:val="%1)"/>
      <w:lvlJc w:val="left"/>
      <w:pPr>
        <w:ind w:left="720" w:hanging="360"/>
      </w:pPr>
      <w:rPr>
        <w:sz w:val="30"/>
        <w:szCs w:val="30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2540C7F"/>
    <w:multiLevelType w:val="multilevel"/>
    <w:tmpl w:val="32B0F51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1080273">
    <w:abstractNumId w:val="2"/>
  </w:num>
  <w:num w:numId="2" w16cid:durableId="1276015786">
    <w:abstractNumId w:val="5"/>
  </w:num>
  <w:num w:numId="3" w16cid:durableId="651256934">
    <w:abstractNumId w:val="6"/>
  </w:num>
  <w:num w:numId="4" w16cid:durableId="439684625">
    <w:abstractNumId w:val="4"/>
  </w:num>
  <w:num w:numId="5" w16cid:durableId="366108217">
    <w:abstractNumId w:val="1"/>
  </w:num>
  <w:num w:numId="6" w16cid:durableId="1027177824">
    <w:abstractNumId w:val="3"/>
  </w:num>
  <w:num w:numId="7" w16cid:durableId="158739364">
    <w:abstractNumId w:val="0"/>
    <w:lvlOverride w:ilvl="0">
      <w:lvl w:ilvl="0">
        <w:numFmt w:val="lowerLetter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A89"/>
    <w:rsid w:val="000366B6"/>
    <w:rsid w:val="003907B3"/>
    <w:rsid w:val="00797A89"/>
    <w:rsid w:val="00967745"/>
    <w:rsid w:val="10EA68BE"/>
    <w:rsid w:val="12A2E284"/>
    <w:rsid w:val="26940724"/>
    <w:rsid w:val="4DE71B0E"/>
    <w:rsid w:val="5B34D000"/>
    <w:rsid w:val="5C4749FB"/>
    <w:rsid w:val="71311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5627B8"/>
  <w15:docId w15:val="{1E2D54EC-EEE3-48CB-A689-5498F469A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uiPriority w:val="9"/>
    <w:name w:val="heading 1"/>
    <w:basedOn w:val="Normal"/>
    <w:next w:val="Normal"/>
    <w:qFormat/>
    <w:rsid w:val="713111B9"/>
    <w:rPr>
      <w:rFonts w:ascii="Times New Roman" w:hAnsi="Times New Roman" w:eastAsia="Times New Roman" w:cs="Times New Roman"/>
      <w:sz w:val="30"/>
      <w:szCs w:val="30"/>
      <w:highlight w:val="white"/>
    </w:rPr>
    <w:pPr>
      <w:numPr>
        <w:ilvl w:val="0"/>
        <w:numId w:val="2"/>
      </w:numPr>
    </w:p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96774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907B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TOC1" mc:Ignorable="w14">
    <w:name xmlns:w="http://schemas.openxmlformats.org/wordprocessingml/2006/main" w:val="toc 1"/>
    <w:basedOn xmlns:w="http://schemas.openxmlformats.org/wordprocessingml/2006/main" w:val="Normal"/>
    <w:next xmlns:w="http://schemas.openxmlformats.org/wordprocessingml/2006/main" w:val="Normal"/>
    <w:autoRedefine xmlns:w="http://schemas.openxmlformats.org/wordprocessingml/2006/main"/>
    <w:uiPriority xmlns:w="http://schemas.openxmlformats.org/wordprocessingml/2006/main" w:val="39"/>
    <w:unhideWhenUsed xmlns:w="http://schemas.openxmlformats.org/wordprocessingml/2006/main"/>
    <w:pPr xmlns:w="http://schemas.openxmlformats.org/wordprocessingml/2006/main">
      <w:spacing xmlns:w="http://schemas.openxmlformats.org/wordprocessingml/2006/main"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8.png" Id="rId26" /><Relationship Type="http://schemas.openxmlformats.org/officeDocument/2006/relationships/image" Target="media/image13.png" Id="rId21" /><Relationship Type="http://schemas.openxmlformats.org/officeDocument/2006/relationships/image" Target="media/image26.png" Id="rId34" /><Relationship Type="http://schemas.openxmlformats.org/officeDocument/2006/relationships/image" Target="media/image34.png" Id="rId42" /><Relationship Type="http://schemas.openxmlformats.org/officeDocument/2006/relationships/image" Target="media/image39.png" Id="rId47" /><Relationship Type="http://schemas.openxmlformats.org/officeDocument/2006/relationships/image" Target="media/image42.png" Id="rId50" /><Relationship Type="http://schemas.openxmlformats.org/officeDocument/2006/relationships/image" Target="media/image47.png" Id="rId55" /><Relationship Type="http://schemas.openxmlformats.org/officeDocument/2006/relationships/image" Target="media/image55.png" Id="rId63" /><Relationship Type="http://schemas.openxmlformats.org/officeDocument/2006/relationships/hyperlink" Target="https://arawireless.readthedocs.io/en/latest/ara_technical_manual/sandbox_service.html" TargetMode="External" Id="rId7" /><Relationship Type="http://schemas.openxmlformats.org/officeDocument/2006/relationships/styles" Target="styles.xml" Id="rId2" /><Relationship Type="http://schemas.openxmlformats.org/officeDocument/2006/relationships/image" Target="media/image8.png" Id="rId16" /><Relationship Type="http://schemas.openxmlformats.org/officeDocument/2006/relationships/image" Target="media/image21.png" Id="rId29" /><Relationship Type="http://schemas.openxmlformats.org/officeDocument/2006/relationships/image" Target="media/image4.png" Id="rId11" /><Relationship Type="http://schemas.openxmlformats.org/officeDocument/2006/relationships/image" Target="media/image16.png" Id="rId24" /><Relationship Type="http://schemas.openxmlformats.org/officeDocument/2006/relationships/image" Target="media/image24.png" Id="rId32" /><Relationship Type="http://schemas.openxmlformats.org/officeDocument/2006/relationships/image" Target="media/image29.png" Id="rId37" /><Relationship Type="http://schemas.openxmlformats.org/officeDocument/2006/relationships/image" Target="media/image32.png" Id="rId40" /><Relationship Type="http://schemas.openxmlformats.org/officeDocument/2006/relationships/image" Target="media/image37.png" Id="rId45" /><Relationship Type="http://schemas.openxmlformats.org/officeDocument/2006/relationships/image" Target="media/image45.png" Id="rId53" /><Relationship Type="http://schemas.openxmlformats.org/officeDocument/2006/relationships/image" Target="media/image50.png" Id="rId58" /><Relationship Type="http://schemas.openxmlformats.org/officeDocument/2006/relationships/theme" Target="theme/theme1.xml" Id="rId66" /><Relationship Type="http://schemas.openxmlformats.org/officeDocument/2006/relationships/image" Target="media/image1.png" Id="rId5" /><Relationship Type="http://schemas.openxmlformats.org/officeDocument/2006/relationships/image" Target="media/image53.png" Id="rId61" /><Relationship Type="http://schemas.openxmlformats.org/officeDocument/2006/relationships/image" Target="media/image11.png" Id="rId19" /><Relationship Type="http://schemas.openxmlformats.org/officeDocument/2006/relationships/image" Target="media/image6.png" Id="rId14" /><Relationship Type="http://schemas.openxmlformats.org/officeDocument/2006/relationships/image" Target="media/image14.png" Id="rId22" /><Relationship Type="http://schemas.openxmlformats.org/officeDocument/2006/relationships/image" Target="media/image19.png" Id="rId27" /><Relationship Type="http://schemas.openxmlformats.org/officeDocument/2006/relationships/image" Target="media/image22.png" Id="rId30" /><Relationship Type="http://schemas.openxmlformats.org/officeDocument/2006/relationships/image" Target="media/image27.png" Id="rId35" /><Relationship Type="http://schemas.openxmlformats.org/officeDocument/2006/relationships/image" Target="media/image35.png" Id="rId43" /><Relationship Type="http://schemas.openxmlformats.org/officeDocument/2006/relationships/image" Target="media/image40.png" Id="rId48" /><Relationship Type="http://schemas.openxmlformats.org/officeDocument/2006/relationships/image" Target="media/image48.png" Id="rId56" /><Relationship Type="http://schemas.openxmlformats.org/officeDocument/2006/relationships/hyperlink" Target="https://linux.die.net/man/1/iperf" TargetMode="External" Id="rId64" /><Relationship Type="http://schemas.openxmlformats.org/officeDocument/2006/relationships/image" Target="media/image2.png" Id="rId8" /><Relationship Type="http://schemas.openxmlformats.org/officeDocument/2006/relationships/image" Target="media/image43.png" Id="rId51" /><Relationship Type="http://schemas.openxmlformats.org/officeDocument/2006/relationships/settings" Target="settings.xml" Id="rId3" /><Relationship Type="http://schemas.openxmlformats.org/officeDocument/2006/relationships/hyperlink" Target="https://arawireless.readthedocs.io/en/latest/ara_technical_manual/sandbox_service.html" TargetMode="External" Id="rId12" /><Relationship Type="http://schemas.openxmlformats.org/officeDocument/2006/relationships/image" Target="media/image9.png" Id="rId17" /><Relationship Type="http://schemas.openxmlformats.org/officeDocument/2006/relationships/image" Target="media/image17.png" Id="rId25" /><Relationship Type="http://schemas.openxmlformats.org/officeDocument/2006/relationships/image" Target="media/image25.png" Id="rId33" /><Relationship Type="http://schemas.openxmlformats.org/officeDocument/2006/relationships/image" Target="media/image30.png" Id="rId38" /><Relationship Type="http://schemas.openxmlformats.org/officeDocument/2006/relationships/image" Target="media/image38.png" Id="rId46" /><Relationship Type="http://schemas.openxmlformats.org/officeDocument/2006/relationships/image" Target="media/image51.png" Id="rId59" /><Relationship Type="http://schemas.openxmlformats.org/officeDocument/2006/relationships/image" Target="media/image12.png" Id="rId20" /><Relationship Type="http://schemas.openxmlformats.org/officeDocument/2006/relationships/image" Target="media/image33.png" Id="rId41" /><Relationship Type="http://schemas.openxmlformats.org/officeDocument/2006/relationships/image" Target="media/image46.png" Id="rId54" /><Relationship Type="http://schemas.openxmlformats.org/officeDocument/2006/relationships/image" Target="media/image54.png" Id="rId62" /><Relationship Type="http://schemas.openxmlformats.org/officeDocument/2006/relationships/numbering" Target="numbering.xml" Id="rId1" /><Relationship Type="http://schemas.openxmlformats.org/officeDocument/2006/relationships/hyperlink" Target="https://www.packetcoders.io/a-beginners-guide-to-mobile-wireless-communication-infrastructure/" TargetMode="External" Id="rId6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image" Target="media/image20.png" Id="rId28" /><Relationship Type="http://schemas.openxmlformats.org/officeDocument/2006/relationships/image" Target="media/image28.png" Id="rId36" /><Relationship Type="http://schemas.openxmlformats.org/officeDocument/2006/relationships/image" Target="media/image41.png" Id="rId49" /><Relationship Type="http://schemas.openxmlformats.org/officeDocument/2006/relationships/image" Target="media/image49.png" Id="rId57" /><Relationship Type="http://schemas.openxmlformats.org/officeDocument/2006/relationships/image" Target="media/image3.png" Id="rId10" /><Relationship Type="http://schemas.openxmlformats.org/officeDocument/2006/relationships/image" Target="media/image23.png" Id="rId31" /><Relationship Type="http://schemas.openxmlformats.org/officeDocument/2006/relationships/image" Target="media/image36.png" Id="rId44" /><Relationship Type="http://schemas.openxmlformats.org/officeDocument/2006/relationships/image" Target="media/image44.png" Id="rId52" /><Relationship Type="http://schemas.openxmlformats.org/officeDocument/2006/relationships/image" Target="media/image52.png" Id="rId60" /><Relationship Type="http://schemas.openxmlformats.org/officeDocument/2006/relationships/fontTable" Target="fontTable.xml" Id="rId65" /><Relationship Type="http://schemas.openxmlformats.org/officeDocument/2006/relationships/webSettings" Target="webSettings.xml" Id="rId4" /><Relationship Type="http://schemas.openxmlformats.org/officeDocument/2006/relationships/hyperlink" Target="https://portal.arawireless.org/auth/login/?next=/project/leases/" TargetMode="External" Id="rId9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31.png" Id="rId39" /><Relationship Type="http://schemas.openxmlformats.org/officeDocument/2006/relationships/header" Target="header.xml" Id="Rd89f94aef5cb4427" /><Relationship Type="http://schemas.openxmlformats.org/officeDocument/2006/relationships/footer" Target="footer.xml" Id="Rd323c2b2425d44ca" /><Relationship Type="http://schemas.openxmlformats.org/officeDocument/2006/relationships/header" Target="header2.xml" Id="Rd40c11a929d34fc8" /><Relationship Type="http://schemas.openxmlformats.org/officeDocument/2006/relationships/footer" Target="footer2.xml" Id="Rb00031dc7a6a4803" /><Relationship Type="http://schemas.openxmlformats.org/officeDocument/2006/relationships/glossaryDocument" Target="glossary/document.xml" Id="R824e0331ba834a55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38.png" Id="R5aaa877e6c9b4a1f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abccc-329f-4061-8412-5877649d6fa3}"/>
      </w:docPartPr>
      <w:docPartBody>
        <w:p w14:paraId="2A7762F9"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Brendon Droege</lastModifiedBy>
  <revision>9</revision>
  <dcterms:created xsi:type="dcterms:W3CDTF">2024-04-02T19:47:00.0000000Z</dcterms:created>
  <dcterms:modified xsi:type="dcterms:W3CDTF">2024-04-10T18:02:34.2698010Z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bf0810f77a3ba4c7bc21c2ddab955dcd8c1cfffe781c2e6ca20f1aa4b5e0ecd1</vt:lpwstr>
  </property>
</Properties>
</file>